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szCs w:val="48"/>
        </w:rPr>
      </w:pPr>
    </w:p>
    <w:p>
      <w:pPr>
        <w:jc w:val="center"/>
        <w:rPr>
          <w:sz w:val="40"/>
          <w:szCs w:val="48"/>
        </w:rPr>
      </w:pPr>
    </w:p>
    <w:p>
      <w:pPr>
        <w:jc w:val="center"/>
        <w:rPr>
          <w:sz w:val="40"/>
          <w:szCs w:val="48"/>
        </w:rPr>
      </w:pPr>
    </w:p>
    <w:p>
      <w:pPr>
        <w:jc w:val="center"/>
        <w:rPr>
          <w:b/>
          <w:bCs/>
          <w:sz w:val="56"/>
          <w:szCs w:val="96"/>
        </w:rPr>
      </w:pPr>
      <w:r>
        <w:rPr>
          <w:rFonts w:hint="eastAsia"/>
          <w:b/>
          <w:bCs/>
          <w:sz w:val="56"/>
          <w:szCs w:val="96"/>
        </w:rPr>
        <w:t>深圳市科学馆流动科技馆展品</w:t>
      </w:r>
    </w:p>
    <w:p>
      <w:pPr>
        <w:jc w:val="center"/>
        <w:rPr>
          <w:b/>
          <w:bCs/>
          <w:sz w:val="56"/>
          <w:szCs w:val="96"/>
        </w:rPr>
      </w:pPr>
      <w:r>
        <w:rPr>
          <w:rFonts w:hint="eastAsia"/>
          <w:b/>
          <w:bCs/>
          <w:sz w:val="56"/>
          <w:szCs w:val="96"/>
        </w:rPr>
        <w:t>采购公告</w:t>
      </w:r>
    </w:p>
    <w:p>
      <w:pPr>
        <w:jc w:val="center"/>
        <w:rPr>
          <w:sz w:val="40"/>
          <w:szCs w:val="48"/>
        </w:rPr>
      </w:pPr>
    </w:p>
    <w:p>
      <w:pPr>
        <w:pStyle w:val="12"/>
        <w:ind w:firstLine="800"/>
        <w:rPr>
          <w:sz w:val="40"/>
          <w:szCs w:val="48"/>
        </w:rPr>
      </w:pPr>
    </w:p>
    <w:p>
      <w:pPr>
        <w:pStyle w:val="12"/>
        <w:ind w:firstLine="800"/>
        <w:rPr>
          <w:sz w:val="40"/>
          <w:szCs w:val="48"/>
        </w:rPr>
      </w:pPr>
    </w:p>
    <w:p>
      <w:pPr>
        <w:pStyle w:val="12"/>
        <w:ind w:firstLine="800"/>
        <w:rPr>
          <w:sz w:val="40"/>
          <w:szCs w:val="48"/>
        </w:rPr>
      </w:pPr>
    </w:p>
    <w:p>
      <w:pPr>
        <w:pStyle w:val="12"/>
        <w:ind w:firstLine="800"/>
        <w:rPr>
          <w:sz w:val="40"/>
          <w:szCs w:val="48"/>
        </w:rPr>
      </w:pPr>
    </w:p>
    <w:p>
      <w:pPr>
        <w:pStyle w:val="12"/>
        <w:ind w:firstLine="800"/>
        <w:rPr>
          <w:sz w:val="40"/>
          <w:szCs w:val="48"/>
        </w:rPr>
      </w:pPr>
    </w:p>
    <w:p>
      <w:pPr>
        <w:pStyle w:val="12"/>
        <w:ind w:firstLine="800"/>
        <w:rPr>
          <w:sz w:val="40"/>
          <w:szCs w:val="48"/>
        </w:rPr>
      </w:pPr>
    </w:p>
    <w:p>
      <w:pPr>
        <w:pStyle w:val="12"/>
        <w:ind w:firstLine="800"/>
        <w:rPr>
          <w:sz w:val="40"/>
          <w:szCs w:val="48"/>
        </w:rPr>
      </w:pPr>
    </w:p>
    <w:p>
      <w:pPr>
        <w:pStyle w:val="12"/>
        <w:ind w:firstLine="964"/>
        <w:jc w:val="center"/>
        <w:rPr>
          <w:b/>
          <w:bCs/>
          <w:sz w:val="48"/>
          <w:szCs w:val="56"/>
        </w:rPr>
      </w:pPr>
      <w:r>
        <w:rPr>
          <w:rFonts w:hint="eastAsia"/>
          <w:b/>
          <w:bCs/>
          <w:sz w:val="48"/>
          <w:szCs w:val="56"/>
        </w:rPr>
        <w:t>深圳市科学馆</w:t>
      </w:r>
    </w:p>
    <w:p>
      <w:pPr>
        <w:pStyle w:val="12"/>
        <w:ind w:firstLine="643"/>
        <w:jc w:val="center"/>
        <w:rPr>
          <w:b/>
          <w:bCs/>
          <w:sz w:val="32"/>
          <w:szCs w:val="40"/>
        </w:rPr>
      </w:pPr>
      <w:r>
        <w:rPr>
          <w:rFonts w:hint="eastAsia"/>
          <w:b/>
          <w:bCs/>
          <w:sz w:val="32"/>
          <w:szCs w:val="40"/>
        </w:rPr>
        <w:t>二零二一年六月</w:t>
      </w:r>
    </w:p>
    <w:p>
      <w:pPr>
        <w:jc w:val="center"/>
        <w:rPr>
          <w:sz w:val="40"/>
          <w:szCs w:val="48"/>
        </w:rPr>
      </w:pPr>
    </w:p>
    <w:p>
      <w:pPr>
        <w:jc w:val="center"/>
        <w:rPr>
          <w:sz w:val="40"/>
          <w:szCs w:val="48"/>
        </w:rPr>
      </w:pPr>
    </w:p>
    <w:p>
      <w:pPr>
        <w:jc w:val="center"/>
        <w:rPr>
          <w:sz w:val="40"/>
          <w:szCs w:val="48"/>
        </w:rPr>
      </w:pPr>
    </w:p>
    <w:p>
      <w:pPr>
        <w:jc w:val="center"/>
        <w:rPr>
          <w:sz w:val="40"/>
          <w:szCs w:val="48"/>
        </w:rPr>
      </w:pPr>
    </w:p>
    <w:p>
      <w:pPr>
        <w:autoSpaceDE w:val="0"/>
        <w:autoSpaceDN w:val="0"/>
        <w:adjustRightInd w:val="0"/>
        <w:spacing w:line="360" w:lineRule="auto"/>
        <w:jc w:val="center"/>
        <w:rPr>
          <w:rFonts w:ascii="宋体" w:hAnsi="宋体" w:cs="仿宋_GB2312"/>
          <w:b/>
          <w:kern w:val="0"/>
          <w:szCs w:val="21"/>
        </w:rPr>
      </w:pPr>
      <w:r>
        <w:rPr>
          <w:rFonts w:hint="eastAsia" w:ascii="宋体" w:hAnsi="宋体" w:cs="仿宋_GB2312"/>
          <w:b/>
          <w:bCs/>
          <w:kern w:val="0"/>
          <w:sz w:val="28"/>
          <w:szCs w:val="28"/>
        </w:rPr>
        <w:t>特别警示条款</w:t>
      </w:r>
    </w:p>
    <w:p>
      <w:pPr>
        <w:autoSpaceDE w:val="0"/>
        <w:autoSpaceDN w:val="0"/>
        <w:adjustRightInd w:val="0"/>
        <w:spacing w:line="360" w:lineRule="auto"/>
        <w:jc w:val="center"/>
        <w:rPr>
          <w:rFonts w:ascii="仿宋" w:hAnsi="仿宋" w:eastAsia="仿宋" w:cs="仿宋"/>
          <w:b/>
          <w:kern w:val="0"/>
          <w:sz w:val="28"/>
          <w:szCs w:val="28"/>
        </w:rPr>
      </w:pPr>
      <w:r>
        <w:rPr>
          <w:rFonts w:hint="eastAsia" w:ascii="仿宋" w:hAnsi="仿宋" w:eastAsia="仿宋" w:cs="仿宋"/>
          <w:b/>
          <w:kern w:val="0"/>
          <w:sz w:val="28"/>
          <w:szCs w:val="28"/>
        </w:rPr>
        <w:t>《深圳经济特区政府采购条例》</w:t>
      </w:r>
    </w:p>
    <w:p>
      <w:pPr>
        <w:autoSpaceDE w:val="0"/>
        <w:autoSpaceDN w:val="0"/>
        <w:adjustRightInd w:val="0"/>
        <w:spacing w:line="360" w:lineRule="auto"/>
        <w:ind w:firstLine="562" w:firstLineChars="200"/>
        <w:jc w:val="left"/>
        <w:rPr>
          <w:rFonts w:ascii="仿宋" w:hAnsi="仿宋" w:eastAsia="仿宋" w:cs="仿宋"/>
          <w:color w:val="040404"/>
          <w:sz w:val="28"/>
          <w:szCs w:val="28"/>
        </w:rPr>
      </w:pPr>
      <w:r>
        <w:rPr>
          <w:rStyle w:val="15"/>
          <w:rFonts w:hint="eastAsia" w:ascii="仿宋" w:hAnsi="仿宋" w:eastAsia="仿宋" w:cs="仿宋"/>
          <w:color w:val="040404"/>
          <w:sz w:val="28"/>
          <w:szCs w:val="28"/>
        </w:rPr>
        <w:t>第五十七条</w:t>
      </w:r>
      <w:r>
        <w:rPr>
          <w:rFonts w:hint="eastAsia" w:ascii="仿宋" w:hAnsi="仿宋" w:eastAsia="仿宋" w:cs="仿宋"/>
          <w:color w:val="040404"/>
          <w:sz w:val="28"/>
          <w:szCs w:val="28"/>
        </w:rPr>
        <w:t> 供应商在政府采购中，有下列行为之一的，一至三年内禁止其参与本市政府采购，并由主管部门记入供应商诚信档案，处采购金额千分之十以上千分之二十以下罚款；情节严重的，取消其参与本市政府采购资格，处采购金额千分之二十以上千分之三十以下罚款，并由市场监管部门依法吊销其营业执照；给他人造成损失的，依法承担赔偿责任；构成犯罪的，依法追究刑事责任：</w:t>
      </w:r>
    </w:p>
    <w:p>
      <w:pPr>
        <w:pStyle w:val="11"/>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（一）在采购活动中应当回避而未回避的；</w:t>
      </w:r>
    </w:p>
    <w:p>
      <w:pPr>
        <w:pStyle w:val="11"/>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（二）未按照本条例规定签订、履行采购合同，造成严重后果的；</w:t>
      </w:r>
    </w:p>
    <w:p>
      <w:pPr>
        <w:pStyle w:val="11"/>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（三）隐瞒真实情况，提供虚假资料的；</w:t>
      </w:r>
    </w:p>
    <w:p>
      <w:pPr>
        <w:pStyle w:val="11"/>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（四）以非法手段排斥其他供应商参与竞争的；</w:t>
      </w:r>
    </w:p>
    <w:p>
      <w:pPr>
        <w:pStyle w:val="11"/>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（五）与其他采购参加人串通投标的；</w:t>
      </w:r>
    </w:p>
    <w:p>
      <w:pPr>
        <w:pStyle w:val="11"/>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（六）恶意投诉的；</w:t>
      </w:r>
    </w:p>
    <w:p>
      <w:pPr>
        <w:pStyle w:val="11"/>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（七）向采购项目相关人行贿或者提供其他不当利益的；</w:t>
      </w:r>
    </w:p>
    <w:p>
      <w:pPr>
        <w:pStyle w:val="11"/>
        <w:shd w:val="clear" w:color="auto" w:fill="FFFFFF"/>
        <w:spacing w:line="360" w:lineRule="auto"/>
        <w:ind w:firstLine="560" w:firstLineChars="200"/>
        <w:rPr>
          <w:rFonts w:ascii="仿宋" w:hAnsi="仿宋" w:eastAsia="仿宋" w:cs="仿宋"/>
          <w:color w:val="040404"/>
          <w:sz w:val="28"/>
          <w:szCs w:val="28"/>
        </w:rPr>
      </w:pPr>
      <w:r>
        <w:rPr>
          <w:rFonts w:hint="eastAsia" w:ascii="仿宋" w:hAnsi="仿宋" w:eastAsia="仿宋" w:cs="仿宋"/>
          <w:color w:val="040404"/>
          <w:sz w:val="28"/>
          <w:szCs w:val="28"/>
        </w:rPr>
        <w:t>（八）阻碍、抗拒主管部门监督检查的；</w:t>
      </w:r>
    </w:p>
    <w:p>
      <w:pPr>
        <w:pStyle w:val="11"/>
        <w:shd w:val="clear" w:color="auto" w:fill="FFFFFF"/>
        <w:ind w:firstLine="560" w:firstLineChars="200"/>
        <w:rPr>
          <w:rFonts w:ascii="仿宋" w:hAnsi="仿宋" w:eastAsia="仿宋" w:cs="仿宋"/>
          <w:kern w:val="0"/>
          <w:sz w:val="28"/>
          <w:szCs w:val="28"/>
        </w:rPr>
      </w:pPr>
      <w:r>
        <w:rPr>
          <w:rFonts w:hint="eastAsia" w:ascii="仿宋" w:hAnsi="仿宋" w:eastAsia="仿宋" w:cs="仿宋"/>
          <w:color w:val="040404"/>
          <w:sz w:val="28"/>
          <w:szCs w:val="28"/>
        </w:rPr>
        <w:t>（九）其他违反本条例规定的行为。</w:t>
      </w:r>
    </w:p>
    <w:p>
      <w:pPr>
        <w:autoSpaceDE w:val="0"/>
        <w:autoSpaceDN w:val="0"/>
        <w:adjustRightInd w:val="0"/>
        <w:spacing w:line="360" w:lineRule="auto"/>
        <w:jc w:val="center"/>
        <w:rPr>
          <w:rFonts w:ascii="仿宋" w:hAnsi="仿宋" w:eastAsia="仿宋" w:cs="仿宋"/>
          <w:b/>
          <w:kern w:val="0"/>
          <w:sz w:val="28"/>
          <w:szCs w:val="28"/>
        </w:rPr>
      </w:pPr>
      <w:r>
        <w:rPr>
          <w:rFonts w:hint="eastAsia" w:ascii="仿宋" w:hAnsi="仿宋" w:eastAsia="仿宋" w:cs="仿宋"/>
          <w:b/>
          <w:kern w:val="0"/>
          <w:sz w:val="28"/>
          <w:szCs w:val="28"/>
        </w:rPr>
        <w:t>《深圳经济特区政府采购条例实施细则》</w:t>
      </w:r>
    </w:p>
    <w:p>
      <w:pPr>
        <w:keepLines/>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第七十六条</w:t>
      </w:r>
      <w:r>
        <w:rPr>
          <w:rFonts w:hint="eastAsia" w:ascii="仿宋" w:hAnsi="仿宋" w:eastAsia="仿宋" w:cs="仿宋"/>
          <w:sz w:val="28"/>
          <w:szCs w:val="28"/>
        </w:rPr>
        <w:t> 供应商有下列行为之一的，由主管部门记入供应商诚信档案并作出以下处罚：</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keepLines/>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第七十七条</w:t>
      </w:r>
      <w:r>
        <w:rPr>
          <w:rFonts w:hint="eastAsia" w:ascii="仿宋" w:hAnsi="仿宋" w:eastAsia="仿宋" w:cs="仿宋"/>
          <w:sz w:val="28"/>
          <w:szCs w:val="28"/>
        </w:rPr>
        <w:t> 供应商有下列行为之一的，属于情节严重，由市场监管部门依法吊销其营业执照，主管部门取消其参与本市政府采购的资格，并作出以下处罚：</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keepLines/>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第七十九条</w:t>
      </w:r>
      <w:r>
        <w:rPr>
          <w:rFonts w:hint="eastAsia" w:ascii="仿宋" w:hAnsi="仿宋" w:eastAsia="仿宋" w:cs="仿宋"/>
          <w:sz w:val="28"/>
          <w:szCs w:val="28"/>
        </w:rPr>
        <w:t> 供应商有下列情形的，属于采购条例所称的串通投标行为，按照采购条例第五十七条有关规定处理：</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（一）投标供应商之间相互约定给予未中标的供应商利益补偿；</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（二）不同投标供应商的法定代表人、主要经营负责人、项目投标授权代表人、项目负责人、主要技术人员为同一人、属同一单位或者在同一单位缴纳社会保险；　　　　 </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（三）不同投标供应商的投标文件由同一单位或者同一人编制，或者由同一人分阶段参与编制的；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（四）不同投标供应商的投标文件或部分投标文件相互混装；</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（五）不同投标供应商的投标文件内容存在非正常一致；</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（六）由同一单位工作人员为两家以上（含两家）供应商进行同一项投标活动的；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（七）主管部门依照法律、法规认定的其他情形。</w:t>
      </w:r>
    </w:p>
    <w:p>
      <w:pPr>
        <w:keepLines/>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第八十一条</w:t>
      </w:r>
      <w:r>
        <w:rPr>
          <w:rFonts w:hint="eastAsia" w:ascii="仿宋" w:hAnsi="仿宋" w:eastAsia="仿宋" w:cs="仿宋"/>
          <w:sz w:val="28"/>
          <w:szCs w:val="28"/>
        </w:rPr>
        <w:t> 供应商有下列情形之一的，属于隐瞒真实情况，提供虚假资料，按照采购条例第五十七的有关规定处理：</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（一）通过转让或者租借等方式从其他单位获取资格或者资质证书投标的；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（二）由其他单位或者其他单位负责人在投标供应商编制的投标文件上加盖印章或者签字的；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（三）项目负责人或者主要技术人员不是本单位人员的；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（四）投标保证金不是从投标供应商基本账户转出的；</w:t>
      </w:r>
    </w:p>
    <w:p>
      <w:pPr>
        <w:keepLine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（五）其他隐瞒真实情况、提供虚假资料的行为。</w:t>
      </w:r>
    </w:p>
    <w:p>
      <w:pPr>
        <w:jc w:val="left"/>
        <w:rPr>
          <w:rFonts w:ascii="仿宋" w:hAnsi="仿宋" w:eastAsia="仿宋" w:cs="仿宋"/>
          <w:sz w:val="28"/>
          <w:szCs w:val="28"/>
        </w:rPr>
      </w:pPr>
      <w:r>
        <w:rPr>
          <w:rFonts w:hint="eastAsia" w:ascii="仿宋" w:hAnsi="仿宋" w:eastAsia="仿宋" w:cs="仿宋"/>
          <w:sz w:val="28"/>
          <w:szCs w:val="28"/>
        </w:rPr>
        <w:t>投标供应商不能提供项目负责人或者主要技术人员的劳动合同、社会保险等劳动关系证明材料的，视为存在前款第（三）项规定的情形。</w:t>
      </w: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r>
        <w:rPr>
          <w:rFonts w:hint="eastAsia"/>
          <w:sz w:val="40"/>
          <w:szCs w:val="48"/>
        </w:rPr>
        <w:t>目  录</w:t>
      </w:r>
    </w:p>
    <w:p>
      <w:pPr>
        <w:pStyle w:val="2"/>
        <w:rPr>
          <w:sz w:val="40"/>
          <w:szCs w:val="48"/>
        </w:rPr>
      </w:pPr>
    </w:p>
    <w:p>
      <w:pPr>
        <w:pStyle w:val="3"/>
      </w:pPr>
    </w:p>
    <w:p>
      <w:pPr>
        <w:pStyle w:val="2"/>
        <w:numPr>
          <w:ilvl w:val="0"/>
          <w:numId w:val="1"/>
        </w:numPr>
        <w:jc w:val="left"/>
        <w:rPr>
          <w:rFonts w:ascii="仿宋" w:hAnsi="仿宋" w:eastAsia="仿宋" w:cs="仿宋"/>
          <w:b/>
          <w:bCs/>
          <w:sz w:val="32"/>
          <w:szCs w:val="32"/>
        </w:rPr>
      </w:pPr>
      <w:r>
        <w:rPr>
          <w:rFonts w:hint="eastAsia" w:ascii="仿宋" w:hAnsi="仿宋" w:eastAsia="仿宋" w:cs="仿宋"/>
          <w:b/>
          <w:bCs/>
          <w:sz w:val="32"/>
          <w:szCs w:val="32"/>
        </w:rPr>
        <w:t>采购内容及预算</w:t>
      </w:r>
    </w:p>
    <w:p>
      <w:pPr>
        <w:pStyle w:val="3"/>
        <w:numPr>
          <w:ilvl w:val="0"/>
          <w:numId w:val="1"/>
        </w:numPr>
        <w:jc w:val="left"/>
        <w:rPr>
          <w:rFonts w:ascii="仿宋" w:hAnsi="仿宋" w:eastAsia="仿宋" w:cs="仿宋"/>
          <w:sz w:val="32"/>
          <w:szCs w:val="32"/>
        </w:rPr>
      </w:pPr>
      <w:r>
        <w:rPr>
          <w:rFonts w:hint="eastAsia" w:ascii="仿宋" w:hAnsi="仿宋" w:eastAsia="仿宋" w:cs="仿宋"/>
          <w:sz w:val="32"/>
          <w:szCs w:val="32"/>
        </w:rPr>
        <w:t>采购要求</w:t>
      </w:r>
    </w:p>
    <w:p>
      <w:pPr>
        <w:numPr>
          <w:ilvl w:val="0"/>
          <w:numId w:val="1"/>
        </w:numPr>
        <w:jc w:val="left"/>
        <w:rPr>
          <w:rFonts w:ascii="仿宋" w:hAnsi="仿宋" w:eastAsia="仿宋" w:cs="仿宋"/>
          <w:b/>
          <w:bCs/>
          <w:sz w:val="32"/>
          <w:szCs w:val="32"/>
        </w:rPr>
      </w:pPr>
      <w:r>
        <w:rPr>
          <w:rFonts w:hint="eastAsia" w:ascii="仿宋" w:hAnsi="仿宋" w:eastAsia="仿宋" w:cs="仿宋"/>
          <w:b/>
          <w:bCs/>
          <w:sz w:val="32"/>
          <w:szCs w:val="32"/>
        </w:rPr>
        <w:t>投标文件提交</w:t>
      </w:r>
    </w:p>
    <w:p>
      <w:pPr>
        <w:numPr>
          <w:ilvl w:val="0"/>
          <w:numId w:val="1"/>
        </w:numPr>
        <w:jc w:val="left"/>
        <w:rPr>
          <w:rFonts w:ascii="仿宋" w:hAnsi="仿宋" w:eastAsia="仿宋" w:cs="仿宋"/>
          <w:b/>
          <w:bCs/>
          <w:sz w:val="32"/>
          <w:szCs w:val="32"/>
        </w:rPr>
      </w:pPr>
      <w:r>
        <w:rPr>
          <w:rFonts w:hint="eastAsia" w:ascii="仿宋" w:hAnsi="仿宋" w:eastAsia="仿宋" w:cs="仿宋"/>
          <w:b/>
          <w:bCs/>
          <w:sz w:val="32"/>
          <w:szCs w:val="32"/>
        </w:rPr>
        <w:t>采购时间安排</w:t>
      </w:r>
    </w:p>
    <w:p>
      <w:pPr>
        <w:pStyle w:val="2"/>
        <w:numPr>
          <w:ilvl w:val="0"/>
          <w:numId w:val="1"/>
        </w:numPr>
        <w:jc w:val="left"/>
        <w:rPr>
          <w:rFonts w:ascii="仿宋" w:hAnsi="仿宋" w:eastAsia="仿宋" w:cs="仿宋"/>
          <w:b/>
          <w:bCs/>
          <w:sz w:val="32"/>
          <w:szCs w:val="32"/>
        </w:rPr>
      </w:pPr>
      <w:r>
        <w:rPr>
          <w:rFonts w:hint="eastAsia" w:ascii="仿宋" w:hAnsi="仿宋" w:eastAsia="仿宋" w:cs="仿宋"/>
          <w:b/>
          <w:bCs/>
          <w:sz w:val="32"/>
          <w:szCs w:val="32"/>
        </w:rPr>
        <w:t>评审、定标、公示</w:t>
      </w:r>
    </w:p>
    <w:p>
      <w:pPr>
        <w:pStyle w:val="3"/>
        <w:numPr>
          <w:ilvl w:val="0"/>
          <w:numId w:val="1"/>
        </w:numPr>
        <w:jc w:val="left"/>
        <w:rPr>
          <w:rFonts w:ascii="仿宋" w:hAnsi="仿宋" w:eastAsia="仿宋" w:cs="仿宋"/>
          <w:sz w:val="32"/>
          <w:szCs w:val="32"/>
        </w:rPr>
      </w:pPr>
      <w:r>
        <w:rPr>
          <w:rFonts w:hint="eastAsia" w:ascii="仿宋" w:hAnsi="仿宋" w:eastAsia="仿宋" w:cs="仿宋"/>
          <w:sz w:val="32"/>
          <w:szCs w:val="32"/>
        </w:rPr>
        <w:t>质疑与投诉</w:t>
      </w:r>
    </w:p>
    <w:p>
      <w:pPr>
        <w:numPr>
          <w:ilvl w:val="0"/>
          <w:numId w:val="1"/>
        </w:numPr>
        <w:jc w:val="left"/>
        <w:rPr>
          <w:rFonts w:ascii="仿宋" w:hAnsi="仿宋" w:eastAsia="仿宋" w:cs="仿宋"/>
          <w:b/>
          <w:bCs/>
          <w:sz w:val="32"/>
          <w:szCs w:val="32"/>
        </w:rPr>
      </w:pPr>
      <w:r>
        <w:rPr>
          <w:rFonts w:hint="eastAsia" w:ascii="仿宋" w:hAnsi="仿宋" w:eastAsia="仿宋" w:cs="仿宋"/>
          <w:b/>
          <w:bCs/>
          <w:sz w:val="32"/>
          <w:szCs w:val="32"/>
        </w:rPr>
        <w:t>合同签订、付款和验收</w:t>
      </w:r>
    </w:p>
    <w:p>
      <w:pPr>
        <w:pStyle w:val="2"/>
        <w:numPr>
          <w:ilvl w:val="0"/>
          <w:numId w:val="1"/>
        </w:numPr>
        <w:jc w:val="left"/>
        <w:rPr>
          <w:rFonts w:ascii="仿宋" w:hAnsi="仿宋" w:eastAsia="仿宋" w:cs="仿宋"/>
          <w:b/>
          <w:bCs/>
          <w:sz w:val="32"/>
          <w:szCs w:val="32"/>
        </w:rPr>
      </w:pPr>
      <w:r>
        <w:rPr>
          <w:rFonts w:hint="eastAsia" w:ascii="仿宋" w:hAnsi="仿宋" w:eastAsia="仿宋" w:cs="仿宋"/>
          <w:b/>
          <w:bCs/>
          <w:sz w:val="32"/>
          <w:szCs w:val="32"/>
        </w:rPr>
        <w:t>保留权利</w:t>
      </w:r>
    </w:p>
    <w:p>
      <w:pPr>
        <w:pStyle w:val="3"/>
        <w:numPr>
          <w:ilvl w:val="0"/>
          <w:numId w:val="1"/>
        </w:numPr>
        <w:jc w:val="left"/>
        <w:rPr>
          <w:rFonts w:ascii="仿宋" w:hAnsi="仿宋" w:eastAsia="仿宋" w:cs="仿宋"/>
          <w:sz w:val="32"/>
          <w:szCs w:val="32"/>
        </w:rPr>
      </w:pPr>
      <w:r>
        <w:rPr>
          <w:rFonts w:hint="eastAsia" w:ascii="仿宋" w:hAnsi="仿宋" w:eastAsia="仿宋" w:cs="仿宋"/>
          <w:sz w:val="32"/>
          <w:szCs w:val="32"/>
        </w:rPr>
        <w:t>附件</w:t>
      </w:r>
    </w:p>
    <w:p>
      <w:pPr>
        <w:pStyle w:val="2"/>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jc w:val="center"/>
        <w:rPr>
          <w:sz w:val="40"/>
          <w:szCs w:val="48"/>
        </w:rPr>
      </w:pPr>
    </w:p>
    <w:p>
      <w:pPr>
        <w:numPr>
          <w:ilvl w:val="0"/>
          <w:numId w:val="2"/>
        </w:numPr>
        <w:jc w:val="center"/>
        <w:rPr>
          <w:b/>
          <w:bCs/>
          <w:sz w:val="28"/>
          <w:szCs w:val="28"/>
        </w:rPr>
      </w:pPr>
      <w:r>
        <w:rPr>
          <w:rFonts w:hint="eastAsia"/>
          <w:b/>
          <w:bCs/>
          <w:sz w:val="28"/>
          <w:szCs w:val="28"/>
        </w:rPr>
        <w:t xml:space="preserve"> 采购内容及预算</w:t>
      </w:r>
    </w:p>
    <w:p>
      <w:pPr>
        <w:pStyle w:val="2"/>
      </w:pPr>
    </w:p>
    <w:p>
      <w:pPr>
        <w:pStyle w:val="2"/>
        <w:ind w:firstLine="0"/>
      </w:pPr>
    </w:p>
    <w:p>
      <w:pPr>
        <w:ind w:firstLine="560" w:firstLineChars="200"/>
        <w:rPr>
          <w:sz w:val="28"/>
          <w:szCs w:val="28"/>
        </w:rPr>
      </w:pPr>
      <w:r>
        <w:rPr>
          <w:rFonts w:hint="eastAsia"/>
          <w:sz w:val="28"/>
          <w:szCs w:val="28"/>
        </w:rPr>
        <w:t>为进一步丰富深圳市科学馆室外科普展区的展示内容，现面向社会公开采购流动科技馆展品设计、制作等相关服务。项目资金来源为财政资金，预算90万元人民币，采购数量42件（展品样式详见附件1、展品名称及实现功能详见附件2）。</w:t>
      </w:r>
    </w:p>
    <w:p>
      <w:pPr>
        <w:pStyle w:val="2"/>
      </w:pPr>
    </w:p>
    <w:p>
      <w:pPr>
        <w:pStyle w:val="2"/>
      </w:pPr>
    </w:p>
    <w:p>
      <w:pPr>
        <w:numPr>
          <w:ilvl w:val="0"/>
          <w:numId w:val="2"/>
        </w:numPr>
        <w:jc w:val="center"/>
        <w:rPr>
          <w:b/>
          <w:bCs/>
          <w:sz w:val="28"/>
          <w:szCs w:val="28"/>
        </w:rPr>
      </w:pPr>
      <w:r>
        <w:rPr>
          <w:rFonts w:hint="eastAsia"/>
          <w:b/>
          <w:bCs/>
          <w:sz w:val="28"/>
          <w:szCs w:val="28"/>
        </w:rPr>
        <w:t>采购要求</w:t>
      </w:r>
    </w:p>
    <w:p>
      <w:pPr>
        <w:pStyle w:val="2"/>
      </w:pPr>
    </w:p>
    <w:p>
      <w:pPr>
        <w:pStyle w:val="3"/>
      </w:pPr>
    </w:p>
    <w:p>
      <w:pPr>
        <w:numPr>
          <w:ilvl w:val="0"/>
          <w:numId w:val="3"/>
        </w:numPr>
        <w:rPr>
          <w:sz w:val="28"/>
          <w:szCs w:val="28"/>
        </w:rPr>
      </w:pPr>
      <w:r>
        <w:rPr>
          <w:rFonts w:hint="eastAsia"/>
          <w:sz w:val="28"/>
          <w:szCs w:val="28"/>
        </w:rPr>
        <w:t>投标人要求</w:t>
      </w:r>
    </w:p>
    <w:p>
      <w:pPr>
        <w:numPr>
          <w:ilvl w:val="0"/>
          <w:numId w:val="4"/>
        </w:numPr>
        <w:rPr>
          <w:sz w:val="28"/>
          <w:szCs w:val="28"/>
        </w:rPr>
      </w:pPr>
      <w:r>
        <w:rPr>
          <w:rFonts w:hint="eastAsia"/>
          <w:sz w:val="28"/>
          <w:szCs w:val="28"/>
        </w:rPr>
        <w:t>投标人须为国内外合法注册的企业，本项目不接受联合体投标。</w:t>
      </w:r>
    </w:p>
    <w:p>
      <w:pPr>
        <w:numPr>
          <w:ilvl w:val="0"/>
          <w:numId w:val="4"/>
        </w:numPr>
        <w:rPr>
          <w:sz w:val="28"/>
          <w:szCs w:val="28"/>
        </w:rPr>
      </w:pPr>
      <w:r>
        <w:rPr>
          <w:rFonts w:hint="eastAsia"/>
          <w:sz w:val="28"/>
          <w:szCs w:val="28"/>
        </w:rPr>
        <w:t>投标人须保证拥有所提交的展品创意及任何内部组成部分的知识产权；如他人提出异议，投标单位承担一切责任。</w:t>
      </w:r>
    </w:p>
    <w:p>
      <w:pPr>
        <w:numPr>
          <w:ilvl w:val="0"/>
          <w:numId w:val="4"/>
        </w:numPr>
        <w:rPr>
          <w:sz w:val="28"/>
          <w:szCs w:val="28"/>
        </w:rPr>
      </w:pPr>
      <w:r>
        <w:rPr>
          <w:rFonts w:hint="eastAsia"/>
          <w:sz w:val="28"/>
          <w:szCs w:val="28"/>
        </w:rPr>
        <w:t>投标人自愿参与并自行承担参加本次采购征集所发生的全部费用。</w:t>
      </w:r>
    </w:p>
    <w:p>
      <w:pPr>
        <w:numPr>
          <w:ilvl w:val="0"/>
          <w:numId w:val="4"/>
        </w:numPr>
        <w:rPr>
          <w:sz w:val="28"/>
          <w:szCs w:val="28"/>
        </w:rPr>
      </w:pPr>
      <w:r>
        <w:rPr>
          <w:rFonts w:hint="eastAsia"/>
          <w:sz w:val="28"/>
          <w:szCs w:val="28"/>
        </w:rPr>
        <w:t>三年内在国内无任何不良违法、企业诚信记录。</w:t>
      </w:r>
    </w:p>
    <w:p>
      <w:pPr>
        <w:numPr>
          <w:ilvl w:val="0"/>
          <w:numId w:val="3"/>
        </w:numPr>
        <w:rPr>
          <w:sz w:val="28"/>
          <w:szCs w:val="28"/>
        </w:rPr>
      </w:pPr>
      <w:r>
        <w:rPr>
          <w:rFonts w:hint="eastAsia"/>
          <w:sz w:val="28"/>
          <w:szCs w:val="28"/>
        </w:rPr>
        <w:t>展品要求</w:t>
      </w:r>
    </w:p>
    <w:p>
      <w:pPr>
        <w:numPr>
          <w:ilvl w:val="0"/>
          <w:numId w:val="5"/>
        </w:numPr>
        <w:rPr>
          <w:sz w:val="28"/>
          <w:szCs w:val="28"/>
        </w:rPr>
      </w:pPr>
      <w:r>
        <w:rPr>
          <w:rFonts w:hint="eastAsia"/>
          <w:sz w:val="28"/>
          <w:szCs w:val="28"/>
        </w:rPr>
        <w:t>展品设计应体现精品意识、内涵丰富，满足流动科技馆展示的要求。展品设计制作须体现使用安全、自行操作、结实耐用、便于维护管理、方便清洁等原则。</w:t>
      </w:r>
    </w:p>
    <w:p>
      <w:pPr>
        <w:numPr>
          <w:ilvl w:val="0"/>
          <w:numId w:val="5"/>
        </w:numPr>
        <w:rPr>
          <w:sz w:val="28"/>
          <w:szCs w:val="28"/>
        </w:rPr>
      </w:pPr>
      <w:r>
        <w:rPr>
          <w:rFonts w:hint="eastAsia"/>
          <w:sz w:val="28"/>
          <w:szCs w:val="28"/>
        </w:rPr>
        <w:t>展品表达的科学原理准确无误，展品原理说明、操作说明准确明了。</w:t>
      </w:r>
    </w:p>
    <w:p>
      <w:pPr>
        <w:numPr>
          <w:ilvl w:val="0"/>
          <w:numId w:val="5"/>
        </w:numPr>
        <w:rPr>
          <w:sz w:val="28"/>
          <w:szCs w:val="28"/>
        </w:rPr>
      </w:pPr>
      <w:r>
        <w:rPr>
          <w:rFonts w:hint="eastAsia"/>
          <w:sz w:val="28"/>
          <w:szCs w:val="28"/>
        </w:rPr>
        <w:t>展品设计、制作符合中国科技馆的流动科技馆展品相关要求和标准，材质和展示效果需整体保持一致。</w:t>
      </w:r>
    </w:p>
    <w:p>
      <w:pPr>
        <w:numPr>
          <w:ilvl w:val="0"/>
          <w:numId w:val="5"/>
        </w:numPr>
        <w:rPr>
          <w:sz w:val="28"/>
          <w:szCs w:val="28"/>
        </w:rPr>
      </w:pPr>
      <w:r>
        <w:rPr>
          <w:rFonts w:hint="eastAsia"/>
          <w:sz w:val="28"/>
          <w:szCs w:val="28"/>
        </w:rPr>
        <w:t>展品制作所用材料、配件、电子元器件必须符合国家有关质量、安全、防火、环保等标准。</w:t>
      </w:r>
    </w:p>
    <w:p>
      <w:pPr>
        <w:numPr>
          <w:ilvl w:val="0"/>
          <w:numId w:val="5"/>
        </w:numPr>
        <w:rPr>
          <w:sz w:val="28"/>
          <w:szCs w:val="28"/>
        </w:rPr>
      </w:pPr>
      <w:r>
        <w:rPr>
          <w:rFonts w:hint="eastAsia"/>
          <w:sz w:val="28"/>
          <w:szCs w:val="28"/>
        </w:rPr>
        <w:t>展品设计、制作过程中投标人应坚持最大限度使用标准件、通用件的原则，确需使用非标准件的应取得招标人同意。在项目验收时必须提供非标准件、通用件的备用件和图纸（机械、电气）。</w:t>
      </w:r>
    </w:p>
    <w:p>
      <w:pPr>
        <w:numPr>
          <w:ilvl w:val="0"/>
          <w:numId w:val="5"/>
        </w:numPr>
        <w:rPr>
          <w:sz w:val="28"/>
          <w:szCs w:val="28"/>
        </w:rPr>
      </w:pPr>
      <w:r>
        <w:rPr>
          <w:rFonts w:hint="eastAsia"/>
          <w:sz w:val="28"/>
          <w:szCs w:val="28"/>
        </w:rPr>
        <w:t>展品箱体长宽高约为：750mm*680mm*2105mm。</w:t>
      </w:r>
    </w:p>
    <w:p>
      <w:pPr>
        <w:numPr>
          <w:ilvl w:val="0"/>
          <w:numId w:val="5"/>
        </w:numPr>
        <w:rPr>
          <w:sz w:val="28"/>
          <w:szCs w:val="28"/>
        </w:rPr>
      </w:pPr>
      <w:r>
        <w:rPr>
          <w:rFonts w:hint="eastAsia"/>
          <w:sz w:val="28"/>
          <w:szCs w:val="28"/>
        </w:rPr>
        <w:t>展品样式及展示内容、原理详见附件</w:t>
      </w:r>
      <w:r>
        <w:rPr>
          <w:rFonts w:hint="eastAsia"/>
          <w:sz w:val="28"/>
          <w:szCs w:val="28"/>
          <w:lang w:val="en-US" w:eastAsia="zh-CN"/>
        </w:rPr>
        <w:t>1</w:t>
      </w:r>
      <w:r>
        <w:rPr>
          <w:rFonts w:hint="eastAsia"/>
          <w:sz w:val="28"/>
          <w:szCs w:val="28"/>
        </w:rPr>
        <w:t>、附件</w:t>
      </w:r>
      <w:r>
        <w:rPr>
          <w:rFonts w:hint="eastAsia"/>
          <w:sz w:val="28"/>
          <w:szCs w:val="28"/>
          <w:lang w:val="en-US" w:eastAsia="zh-CN"/>
        </w:rPr>
        <w:t>2</w:t>
      </w:r>
      <w:r>
        <w:rPr>
          <w:rFonts w:hint="eastAsia"/>
          <w:sz w:val="28"/>
          <w:szCs w:val="28"/>
        </w:rPr>
        <w:t>。</w:t>
      </w:r>
    </w:p>
    <w:p>
      <w:pPr>
        <w:numPr>
          <w:ilvl w:val="0"/>
          <w:numId w:val="5"/>
        </w:numPr>
        <w:rPr>
          <w:sz w:val="28"/>
          <w:szCs w:val="28"/>
        </w:rPr>
      </w:pPr>
      <w:r>
        <w:rPr>
          <w:rFonts w:hint="eastAsia"/>
          <w:sz w:val="28"/>
          <w:szCs w:val="28"/>
        </w:rPr>
        <w:t>展品交货期：签订合同后60天以内。</w:t>
      </w:r>
    </w:p>
    <w:p>
      <w:pPr>
        <w:numPr>
          <w:ilvl w:val="0"/>
          <w:numId w:val="5"/>
        </w:numPr>
        <w:rPr>
          <w:sz w:val="28"/>
          <w:szCs w:val="28"/>
        </w:rPr>
      </w:pPr>
      <w:r>
        <w:rPr>
          <w:rFonts w:hint="eastAsia"/>
          <w:sz w:val="28"/>
          <w:szCs w:val="28"/>
        </w:rPr>
        <w:t>售后服务期不低于2年免费维保期，易损配件须提供备用配件，非标准设备、配件须提供图纸。</w:t>
      </w:r>
    </w:p>
    <w:p>
      <w:pPr>
        <w:rPr>
          <w:b/>
          <w:bCs/>
          <w:sz w:val="28"/>
          <w:szCs w:val="28"/>
        </w:rPr>
      </w:pPr>
    </w:p>
    <w:p>
      <w:pPr>
        <w:numPr>
          <w:ilvl w:val="0"/>
          <w:numId w:val="2"/>
        </w:numPr>
        <w:jc w:val="center"/>
        <w:rPr>
          <w:b/>
          <w:bCs/>
          <w:sz w:val="28"/>
          <w:szCs w:val="28"/>
        </w:rPr>
      </w:pPr>
      <w:r>
        <w:rPr>
          <w:rFonts w:hint="eastAsia"/>
          <w:b/>
          <w:bCs/>
          <w:sz w:val="28"/>
          <w:szCs w:val="28"/>
        </w:rPr>
        <w:t>投标文件提交</w:t>
      </w:r>
    </w:p>
    <w:p>
      <w:pPr>
        <w:pStyle w:val="2"/>
      </w:pPr>
    </w:p>
    <w:p>
      <w:pPr>
        <w:pStyle w:val="2"/>
      </w:pPr>
    </w:p>
    <w:p>
      <w:pPr>
        <w:ind w:firstLine="840" w:firstLineChars="300"/>
        <w:rPr>
          <w:sz w:val="28"/>
          <w:szCs w:val="28"/>
        </w:rPr>
      </w:pPr>
      <w:r>
        <w:rPr>
          <w:rFonts w:hint="eastAsia"/>
          <w:sz w:val="28"/>
          <w:szCs w:val="28"/>
        </w:rPr>
        <w:t>投标人须提供的文件包含以下：</w:t>
      </w:r>
    </w:p>
    <w:p>
      <w:pPr>
        <w:numPr>
          <w:ilvl w:val="0"/>
          <w:numId w:val="6"/>
        </w:numPr>
        <w:rPr>
          <w:sz w:val="28"/>
          <w:szCs w:val="28"/>
        </w:rPr>
      </w:pPr>
      <w:r>
        <w:rPr>
          <w:rFonts w:hint="eastAsia"/>
          <w:sz w:val="28"/>
          <w:szCs w:val="28"/>
        </w:rPr>
        <w:t>中文表述的投标文件彩印一式五份（投标文件需提供展品详细的零部件清单，三维效果图和主要结构图）。</w:t>
      </w:r>
    </w:p>
    <w:p>
      <w:pPr>
        <w:pStyle w:val="2"/>
        <w:numPr>
          <w:ilvl w:val="0"/>
          <w:numId w:val="6"/>
        </w:numPr>
        <w:rPr>
          <w:sz w:val="28"/>
          <w:szCs w:val="28"/>
        </w:rPr>
      </w:pPr>
      <w:r>
        <w:rPr>
          <w:rFonts w:hint="eastAsia"/>
          <w:sz w:val="28"/>
          <w:szCs w:val="28"/>
        </w:rPr>
        <w:t>诚信、售后服务承诺函（法人或授权人签字并盖章）。</w:t>
      </w:r>
    </w:p>
    <w:p>
      <w:pPr>
        <w:numPr>
          <w:ilvl w:val="0"/>
          <w:numId w:val="6"/>
        </w:numPr>
        <w:rPr>
          <w:sz w:val="28"/>
          <w:szCs w:val="28"/>
        </w:rPr>
      </w:pPr>
      <w:r>
        <w:rPr>
          <w:rFonts w:hint="eastAsia"/>
          <w:sz w:val="28"/>
          <w:szCs w:val="28"/>
        </w:rPr>
        <w:t>企业营业执照、证书复印件（盖章）。</w:t>
      </w:r>
    </w:p>
    <w:p>
      <w:pPr>
        <w:numPr>
          <w:ilvl w:val="0"/>
          <w:numId w:val="6"/>
        </w:numPr>
        <w:rPr>
          <w:sz w:val="28"/>
          <w:szCs w:val="28"/>
        </w:rPr>
      </w:pPr>
      <w:r>
        <w:rPr>
          <w:rFonts w:hint="eastAsia"/>
          <w:sz w:val="28"/>
          <w:szCs w:val="28"/>
        </w:rPr>
        <w:t>业绩情况统计表（需包含合同或者中标通知书关键页并盖章）。</w:t>
      </w:r>
    </w:p>
    <w:p>
      <w:pPr>
        <w:numPr>
          <w:ilvl w:val="0"/>
          <w:numId w:val="6"/>
        </w:numPr>
        <w:rPr>
          <w:sz w:val="28"/>
          <w:szCs w:val="28"/>
        </w:rPr>
      </w:pPr>
      <w:r>
        <w:rPr>
          <w:rFonts w:hint="eastAsia"/>
          <w:sz w:val="28"/>
          <w:szCs w:val="28"/>
        </w:rPr>
        <w:t>附件3采购评分表中包含的其他材料（复印件盖章，原件待查）。</w:t>
      </w:r>
    </w:p>
    <w:p>
      <w:pPr>
        <w:pStyle w:val="2"/>
      </w:pPr>
    </w:p>
    <w:p>
      <w:pPr>
        <w:numPr>
          <w:ilvl w:val="0"/>
          <w:numId w:val="2"/>
        </w:numPr>
        <w:jc w:val="center"/>
        <w:rPr>
          <w:b/>
          <w:bCs/>
          <w:sz w:val="28"/>
          <w:szCs w:val="28"/>
        </w:rPr>
      </w:pPr>
      <w:r>
        <w:rPr>
          <w:rFonts w:hint="eastAsia"/>
          <w:b/>
          <w:bCs/>
          <w:sz w:val="28"/>
          <w:szCs w:val="28"/>
        </w:rPr>
        <w:t>采购时间安排</w:t>
      </w:r>
    </w:p>
    <w:p>
      <w:pPr>
        <w:pStyle w:val="2"/>
      </w:pPr>
    </w:p>
    <w:p>
      <w:pPr>
        <w:numPr>
          <w:ilvl w:val="0"/>
          <w:numId w:val="7"/>
        </w:numPr>
        <w:rPr>
          <w:sz w:val="28"/>
          <w:szCs w:val="28"/>
        </w:rPr>
      </w:pPr>
      <w:r>
        <w:rPr>
          <w:rFonts w:hint="eastAsia"/>
          <w:sz w:val="28"/>
          <w:szCs w:val="28"/>
        </w:rPr>
        <w:t>采购起止时间</w:t>
      </w:r>
    </w:p>
    <w:p>
      <w:pPr>
        <w:rPr>
          <w:sz w:val="28"/>
          <w:szCs w:val="28"/>
        </w:rPr>
      </w:pPr>
      <w:r>
        <w:rPr>
          <w:rFonts w:hint="eastAsia"/>
          <w:sz w:val="28"/>
          <w:szCs w:val="28"/>
        </w:rPr>
        <w:t>　　2021年6月2</w:t>
      </w:r>
      <w:r>
        <w:rPr>
          <w:rFonts w:hint="eastAsia"/>
          <w:sz w:val="28"/>
          <w:szCs w:val="28"/>
          <w:lang w:val="en-US" w:eastAsia="zh-CN"/>
        </w:rPr>
        <w:t>9</w:t>
      </w:r>
      <w:r>
        <w:rPr>
          <w:rFonts w:hint="eastAsia"/>
          <w:sz w:val="28"/>
          <w:szCs w:val="28"/>
        </w:rPr>
        <w:t>日至2021年7月15日。投标人务必在2021年7月15日17：00之前当面或者邮寄送达投标文件，邮寄送达以签收时间为准。本次采购活动不设现场考察环节。　</w:t>
      </w:r>
    </w:p>
    <w:p>
      <w:pPr>
        <w:numPr>
          <w:ilvl w:val="0"/>
          <w:numId w:val="7"/>
        </w:numPr>
        <w:rPr>
          <w:sz w:val="28"/>
          <w:szCs w:val="28"/>
        </w:rPr>
      </w:pPr>
      <w:r>
        <w:rPr>
          <w:rFonts w:hint="eastAsia"/>
          <w:sz w:val="28"/>
          <w:szCs w:val="28"/>
        </w:rPr>
        <w:t>投标文件提交地址及联系方式</w:t>
      </w:r>
    </w:p>
    <w:p>
      <w:pPr>
        <w:rPr>
          <w:sz w:val="28"/>
          <w:szCs w:val="28"/>
        </w:rPr>
      </w:pPr>
      <w:r>
        <w:rPr>
          <w:rFonts w:hint="eastAsia"/>
          <w:sz w:val="28"/>
          <w:szCs w:val="28"/>
        </w:rPr>
        <w:t>　　地    址：深圳市福田区上步中路1003号科学馆402室</w:t>
      </w:r>
    </w:p>
    <w:p>
      <w:pPr>
        <w:rPr>
          <w:rFonts w:hint="default"/>
          <w:sz w:val="28"/>
          <w:szCs w:val="28"/>
          <w:lang w:val="en-US"/>
        </w:rPr>
      </w:pPr>
      <w:r>
        <w:rPr>
          <w:rFonts w:hint="eastAsia"/>
          <w:sz w:val="28"/>
          <w:szCs w:val="28"/>
        </w:rPr>
        <w:t>　　收 件 人：  赵</w:t>
      </w:r>
      <w:r>
        <w:rPr>
          <w:rFonts w:hint="eastAsia"/>
          <w:sz w:val="28"/>
          <w:szCs w:val="28"/>
          <w:lang w:val="en-US" w:eastAsia="zh-CN"/>
        </w:rPr>
        <w:t>先生  靖女士</w:t>
      </w:r>
    </w:p>
    <w:p>
      <w:pPr>
        <w:ind w:firstLine="560" w:firstLineChars="200"/>
        <w:rPr>
          <w:sz w:val="28"/>
          <w:szCs w:val="28"/>
        </w:rPr>
      </w:pPr>
      <w:r>
        <w:rPr>
          <w:rFonts w:hint="eastAsia"/>
          <w:sz w:val="28"/>
          <w:szCs w:val="28"/>
        </w:rPr>
        <w:t xml:space="preserve">联系电话：  </w:t>
      </w:r>
      <w:r>
        <w:rPr>
          <w:rFonts w:hint="eastAsia"/>
          <w:sz w:val="28"/>
          <w:szCs w:val="28"/>
          <w:lang w:val="en-US" w:eastAsia="zh-CN"/>
        </w:rPr>
        <w:t>0755-8326 8445   8326 8442</w:t>
      </w:r>
      <w:r>
        <w:rPr>
          <w:rFonts w:hint="eastAsia"/>
          <w:sz w:val="28"/>
          <w:szCs w:val="28"/>
        </w:rPr>
        <w:t xml:space="preserve">  　　　</w:t>
      </w:r>
    </w:p>
    <w:p>
      <w:pPr>
        <w:pStyle w:val="2"/>
      </w:pPr>
    </w:p>
    <w:p>
      <w:pPr>
        <w:numPr>
          <w:ilvl w:val="0"/>
          <w:numId w:val="2"/>
        </w:numPr>
        <w:jc w:val="center"/>
        <w:rPr>
          <w:b/>
          <w:bCs/>
          <w:sz w:val="28"/>
          <w:szCs w:val="28"/>
        </w:rPr>
      </w:pPr>
      <w:r>
        <w:rPr>
          <w:rFonts w:hint="eastAsia"/>
          <w:b/>
          <w:bCs/>
          <w:sz w:val="28"/>
          <w:szCs w:val="28"/>
        </w:rPr>
        <w:t>评审、定标、公示</w:t>
      </w:r>
    </w:p>
    <w:p>
      <w:pPr>
        <w:pStyle w:val="2"/>
      </w:pPr>
    </w:p>
    <w:p>
      <w:pPr>
        <w:numPr>
          <w:ilvl w:val="0"/>
          <w:numId w:val="8"/>
        </w:numPr>
        <w:rPr>
          <w:sz w:val="28"/>
          <w:szCs w:val="28"/>
        </w:rPr>
      </w:pPr>
      <w:r>
        <w:rPr>
          <w:rFonts w:hint="eastAsia"/>
          <w:sz w:val="28"/>
          <w:szCs w:val="28"/>
        </w:rPr>
        <w:t>评审</w:t>
      </w:r>
    </w:p>
    <w:p>
      <w:pPr>
        <w:numPr>
          <w:ilvl w:val="0"/>
          <w:numId w:val="9"/>
        </w:numPr>
        <w:rPr>
          <w:sz w:val="28"/>
          <w:szCs w:val="28"/>
        </w:rPr>
      </w:pPr>
      <w:r>
        <w:rPr>
          <w:rFonts w:hint="eastAsia"/>
          <w:sz w:val="28"/>
          <w:szCs w:val="28"/>
        </w:rPr>
        <w:t>深圳市科学馆将组织成立不少于5人的项目的评审小组。</w:t>
      </w:r>
    </w:p>
    <w:p>
      <w:pPr>
        <w:numPr>
          <w:ilvl w:val="0"/>
          <w:numId w:val="9"/>
        </w:numPr>
        <w:rPr>
          <w:sz w:val="28"/>
          <w:szCs w:val="28"/>
        </w:rPr>
      </w:pPr>
      <w:r>
        <w:rPr>
          <w:rFonts w:hint="eastAsia"/>
          <w:sz w:val="28"/>
          <w:szCs w:val="28"/>
        </w:rPr>
        <w:t>评审小组将对按时提交、符合要求的所有投标文件进行评审，根据深圳市政府采购货物类评标标准，此项目价格分占比30%，技术方案分占比50%，商务分占比20%。评审小组将对比价格、设计方案、展示效果、材料、工期、售后服务等方面因素，选取合适的中标单位。 具体评分细则详见：附件三深圳市科学馆流动科技馆展品采购评分表。</w:t>
      </w:r>
    </w:p>
    <w:p>
      <w:pPr>
        <w:numPr>
          <w:ilvl w:val="0"/>
          <w:numId w:val="8"/>
        </w:numPr>
        <w:rPr>
          <w:sz w:val="28"/>
          <w:szCs w:val="28"/>
        </w:rPr>
      </w:pPr>
      <w:r>
        <w:rPr>
          <w:rFonts w:hint="eastAsia"/>
          <w:sz w:val="28"/>
          <w:szCs w:val="28"/>
        </w:rPr>
        <w:t>定标　　</w:t>
      </w:r>
    </w:p>
    <w:p>
      <w:pPr>
        <w:ind w:firstLine="560" w:firstLineChars="200"/>
        <w:rPr>
          <w:sz w:val="28"/>
          <w:szCs w:val="28"/>
        </w:rPr>
      </w:pPr>
      <w:r>
        <w:rPr>
          <w:rFonts w:hint="eastAsia"/>
          <w:sz w:val="28"/>
          <w:szCs w:val="28"/>
        </w:rPr>
        <w:t>按照采购文件中规定的各项因素进行量化打分，以所有评委评分总和的平均分为投标人最终得分，得分最高的投标人为第一候选中标供应商，次高者为第二候选中标供应商</w:t>
      </w:r>
      <w:r>
        <w:rPr>
          <w:rFonts w:hint="eastAsia"/>
          <w:sz w:val="28"/>
          <w:szCs w:val="28"/>
          <w:lang w:eastAsia="zh-CN"/>
        </w:rPr>
        <w:t>，</w:t>
      </w:r>
      <w:r>
        <w:rPr>
          <w:rFonts w:hint="eastAsia"/>
          <w:sz w:val="28"/>
          <w:szCs w:val="28"/>
        </w:rPr>
        <w:t>评标委员会确定第一候选中标供应商为中标人。得分相同的投标人，按投标报价由低到高顺序排列</w:t>
      </w:r>
      <w:r>
        <w:rPr>
          <w:rFonts w:hint="eastAsia"/>
          <w:sz w:val="28"/>
          <w:szCs w:val="28"/>
          <w:lang w:eastAsia="zh-CN"/>
        </w:rPr>
        <w:t>，</w:t>
      </w:r>
      <w:r>
        <w:rPr>
          <w:rFonts w:hint="eastAsia"/>
          <w:sz w:val="28"/>
          <w:szCs w:val="28"/>
        </w:rPr>
        <w:t>评标委员会确定</w:t>
      </w:r>
      <w:r>
        <w:rPr>
          <w:rFonts w:hint="eastAsia"/>
          <w:sz w:val="28"/>
          <w:szCs w:val="28"/>
          <w:lang w:val="en-US" w:eastAsia="zh-CN"/>
        </w:rPr>
        <w:t>报价低的</w:t>
      </w:r>
      <w:r>
        <w:rPr>
          <w:rFonts w:hint="eastAsia"/>
          <w:sz w:val="28"/>
          <w:szCs w:val="28"/>
        </w:rPr>
        <w:t>供应商为中标人。得分且投标报价相同的，按</w:t>
      </w:r>
      <w:r>
        <w:rPr>
          <w:rFonts w:hint="eastAsia"/>
          <w:sz w:val="28"/>
          <w:szCs w:val="28"/>
          <w:lang w:val="en-US" w:eastAsia="zh-CN"/>
        </w:rPr>
        <w:t>主要</w:t>
      </w:r>
      <w:r>
        <w:rPr>
          <w:rFonts w:hint="eastAsia"/>
          <w:sz w:val="28"/>
          <w:szCs w:val="28"/>
        </w:rPr>
        <w:t>技术指标优劣顺序排列</w:t>
      </w:r>
      <w:r>
        <w:rPr>
          <w:rFonts w:hint="eastAsia"/>
          <w:sz w:val="28"/>
          <w:szCs w:val="28"/>
          <w:lang w:eastAsia="zh-CN"/>
        </w:rPr>
        <w:t>，</w:t>
      </w:r>
      <w:r>
        <w:rPr>
          <w:rFonts w:hint="eastAsia"/>
          <w:sz w:val="28"/>
          <w:szCs w:val="28"/>
        </w:rPr>
        <w:t>评标委员会确定</w:t>
      </w:r>
      <w:r>
        <w:rPr>
          <w:rFonts w:hint="eastAsia"/>
          <w:sz w:val="28"/>
          <w:szCs w:val="28"/>
          <w:lang w:val="en-US" w:eastAsia="zh-CN"/>
        </w:rPr>
        <w:t>技术指标最优的</w:t>
      </w:r>
      <w:r>
        <w:rPr>
          <w:rFonts w:hint="eastAsia"/>
          <w:sz w:val="28"/>
          <w:szCs w:val="28"/>
        </w:rPr>
        <w:t>供应商为中标人。</w:t>
      </w:r>
    </w:p>
    <w:p>
      <w:pPr>
        <w:numPr>
          <w:ilvl w:val="0"/>
          <w:numId w:val="8"/>
        </w:numPr>
        <w:rPr>
          <w:sz w:val="28"/>
          <w:szCs w:val="28"/>
        </w:rPr>
      </w:pPr>
      <w:r>
        <w:rPr>
          <w:rFonts w:hint="eastAsia"/>
          <w:sz w:val="28"/>
          <w:szCs w:val="28"/>
        </w:rPr>
        <w:t>公示</w:t>
      </w:r>
    </w:p>
    <w:p>
      <w:pPr>
        <w:ind w:firstLine="840" w:firstLineChars="300"/>
        <w:rPr>
          <w:sz w:val="28"/>
          <w:szCs w:val="28"/>
        </w:rPr>
      </w:pPr>
      <w:r>
        <w:rPr>
          <w:rFonts w:hint="eastAsia"/>
          <w:sz w:val="28"/>
          <w:szCs w:val="28"/>
        </w:rPr>
        <w:t>采购评审结果将于2021年7月23日以前在深圳市科学馆网站上（www.szstm.com）公布。</w:t>
      </w:r>
    </w:p>
    <w:p>
      <w:pPr>
        <w:pStyle w:val="2"/>
      </w:pPr>
    </w:p>
    <w:p>
      <w:pPr>
        <w:pStyle w:val="2"/>
      </w:pPr>
    </w:p>
    <w:p>
      <w:pPr>
        <w:numPr>
          <w:ilvl w:val="0"/>
          <w:numId w:val="2"/>
        </w:numPr>
        <w:jc w:val="center"/>
        <w:rPr>
          <w:b/>
          <w:bCs/>
          <w:sz w:val="28"/>
          <w:szCs w:val="28"/>
        </w:rPr>
      </w:pPr>
      <w:r>
        <w:rPr>
          <w:rFonts w:hint="eastAsia"/>
          <w:b/>
          <w:bCs/>
          <w:sz w:val="28"/>
          <w:szCs w:val="28"/>
        </w:rPr>
        <w:t>质疑与投诉</w:t>
      </w:r>
    </w:p>
    <w:p>
      <w:pPr>
        <w:pStyle w:val="2"/>
      </w:pPr>
    </w:p>
    <w:p>
      <w:pPr>
        <w:pStyle w:val="3"/>
      </w:pPr>
    </w:p>
    <w:p>
      <w:pPr>
        <w:ind w:firstLine="560" w:firstLineChars="200"/>
        <w:rPr>
          <w:sz w:val="28"/>
          <w:szCs w:val="28"/>
        </w:rPr>
      </w:pPr>
      <w:r>
        <w:rPr>
          <w:rFonts w:hint="eastAsia"/>
          <w:sz w:val="28"/>
          <w:szCs w:val="28"/>
        </w:rPr>
        <w:t>投标人在采购、评审、公示过程中如有对本次招标事项有异议，请以邮件的形式提交。招标人将在24小</w:t>
      </w:r>
      <w:bookmarkStart w:id="6" w:name="_GoBack"/>
      <w:bookmarkEnd w:id="6"/>
      <w:r>
        <w:rPr>
          <w:rFonts w:hint="eastAsia"/>
          <w:sz w:val="28"/>
          <w:szCs w:val="28"/>
        </w:rPr>
        <w:t>时内回复投标人。</w:t>
      </w:r>
    </w:p>
    <w:p>
      <w:pPr>
        <w:ind w:firstLine="560" w:firstLineChars="200"/>
        <w:rPr>
          <w:sz w:val="28"/>
          <w:szCs w:val="28"/>
        </w:rPr>
      </w:pPr>
      <w:r>
        <w:rPr>
          <w:rFonts w:hint="eastAsia"/>
          <w:sz w:val="28"/>
          <w:szCs w:val="28"/>
        </w:rPr>
        <w:t>邮件提交地址：</w:t>
      </w:r>
      <w:r>
        <w:fldChar w:fldCharType="begin"/>
      </w:r>
      <w:r>
        <w:instrText xml:space="preserve"> HYPERLINK "mailto:zf2134@qq.com" </w:instrText>
      </w:r>
      <w:r>
        <w:fldChar w:fldCharType="separate"/>
      </w:r>
      <w:r>
        <w:rPr>
          <w:rStyle w:val="17"/>
          <w:rFonts w:hint="eastAsia"/>
          <w:sz w:val="28"/>
          <w:szCs w:val="28"/>
        </w:rPr>
        <w:t>zf2134@qq.com</w:t>
      </w:r>
      <w:r>
        <w:rPr>
          <w:rStyle w:val="17"/>
          <w:rFonts w:hint="eastAsia"/>
          <w:sz w:val="28"/>
          <w:szCs w:val="28"/>
        </w:rPr>
        <w:fldChar w:fldCharType="end"/>
      </w:r>
    </w:p>
    <w:p>
      <w:pPr>
        <w:pStyle w:val="2"/>
      </w:pPr>
    </w:p>
    <w:p>
      <w:pPr>
        <w:pStyle w:val="2"/>
      </w:pPr>
    </w:p>
    <w:p>
      <w:pPr>
        <w:numPr>
          <w:ilvl w:val="0"/>
          <w:numId w:val="2"/>
        </w:numPr>
        <w:jc w:val="center"/>
        <w:rPr>
          <w:b/>
          <w:bCs/>
          <w:sz w:val="28"/>
          <w:szCs w:val="28"/>
        </w:rPr>
      </w:pPr>
      <w:r>
        <w:rPr>
          <w:rFonts w:hint="eastAsia"/>
          <w:b/>
          <w:bCs/>
          <w:sz w:val="28"/>
          <w:szCs w:val="28"/>
        </w:rPr>
        <w:t>合同签订、付款和验收</w:t>
      </w:r>
    </w:p>
    <w:p>
      <w:pPr>
        <w:pStyle w:val="2"/>
      </w:pPr>
    </w:p>
    <w:p>
      <w:pPr>
        <w:pStyle w:val="2"/>
      </w:pPr>
    </w:p>
    <w:p>
      <w:pPr>
        <w:numPr>
          <w:ilvl w:val="0"/>
          <w:numId w:val="10"/>
        </w:numPr>
        <w:rPr>
          <w:sz w:val="28"/>
          <w:szCs w:val="28"/>
        </w:rPr>
      </w:pPr>
      <w:r>
        <w:rPr>
          <w:rFonts w:hint="eastAsia"/>
          <w:sz w:val="28"/>
          <w:szCs w:val="28"/>
        </w:rPr>
        <w:t>合同签订</w:t>
      </w:r>
    </w:p>
    <w:p>
      <w:pPr>
        <w:ind w:firstLine="560" w:firstLineChars="200"/>
        <w:rPr>
          <w:sz w:val="28"/>
          <w:szCs w:val="28"/>
        </w:rPr>
      </w:pPr>
      <w:r>
        <w:rPr>
          <w:rFonts w:hint="eastAsia"/>
          <w:sz w:val="28"/>
          <w:szCs w:val="28"/>
        </w:rPr>
        <w:t>评审结果公示满3个工作日后如无质疑、投诉，招标人将在10个工作日内与中标人签订采购合同。</w:t>
      </w:r>
    </w:p>
    <w:p>
      <w:pPr>
        <w:numPr>
          <w:ilvl w:val="0"/>
          <w:numId w:val="10"/>
        </w:numPr>
        <w:rPr>
          <w:sz w:val="28"/>
          <w:szCs w:val="28"/>
        </w:rPr>
      </w:pPr>
      <w:r>
        <w:rPr>
          <w:rFonts w:hint="eastAsia"/>
          <w:sz w:val="28"/>
          <w:szCs w:val="28"/>
        </w:rPr>
        <w:t>付款</w:t>
      </w:r>
    </w:p>
    <w:p>
      <w:pPr>
        <w:numPr>
          <w:ilvl w:val="0"/>
          <w:numId w:val="11"/>
        </w:numPr>
        <w:rPr>
          <w:sz w:val="28"/>
          <w:szCs w:val="28"/>
        </w:rPr>
      </w:pPr>
      <w:r>
        <w:rPr>
          <w:rFonts w:hint="eastAsia"/>
          <w:sz w:val="28"/>
          <w:szCs w:val="28"/>
        </w:rPr>
        <w:t>合同签订后</w:t>
      </w:r>
      <w:r>
        <w:rPr>
          <w:rFonts w:hint="eastAsia"/>
          <w:sz w:val="28"/>
          <w:szCs w:val="28"/>
          <w:lang w:eastAsia="zh-CN"/>
        </w:rPr>
        <w:t>、</w:t>
      </w:r>
      <w:r>
        <w:rPr>
          <w:rFonts w:hint="eastAsia"/>
          <w:sz w:val="28"/>
          <w:szCs w:val="28"/>
          <w:lang w:val="en-US" w:eastAsia="zh-CN"/>
        </w:rPr>
        <w:t>中标人提供等额</w:t>
      </w:r>
      <w:r>
        <w:rPr>
          <w:rFonts w:hint="eastAsia" w:asciiTheme="minorHAnsi" w:hAnsiTheme="minorHAnsi" w:eastAsiaTheme="minorEastAsia" w:cstheme="minorBidi"/>
          <w:sz w:val="28"/>
          <w:szCs w:val="28"/>
        </w:rPr>
        <w:t>增值税发票</w:t>
      </w:r>
      <w:r>
        <w:rPr>
          <w:rFonts w:hint="eastAsia" w:asciiTheme="minorHAnsi" w:hAnsiTheme="minorHAnsi" w:eastAsiaTheme="minorEastAsia" w:cstheme="minorBidi"/>
          <w:sz w:val="28"/>
          <w:szCs w:val="28"/>
          <w:lang w:val="en-US" w:eastAsia="zh-CN"/>
        </w:rPr>
        <w:t>后</w:t>
      </w:r>
      <w:r>
        <w:rPr>
          <w:rFonts w:hint="eastAsia"/>
          <w:sz w:val="28"/>
          <w:szCs w:val="28"/>
          <w:lang w:val="en-US" w:eastAsia="zh-CN"/>
        </w:rPr>
        <w:t>30</w:t>
      </w:r>
      <w:r>
        <w:rPr>
          <w:rFonts w:hint="eastAsia"/>
          <w:sz w:val="28"/>
          <w:szCs w:val="28"/>
        </w:rPr>
        <w:t>日内</w:t>
      </w:r>
      <w:r>
        <w:rPr>
          <w:rFonts w:hint="eastAsia"/>
          <w:sz w:val="28"/>
          <w:szCs w:val="28"/>
          <w:lang w:eastAsia="zh-CN"/>
        </w:rPr>
        <w:t>，</w:t>
      </w:r>
      <w:r>
        <w:rPr>
          <w:rFonts w:hint="eastAsia"/>
          <w:sz w:val="28"/>
          <w:szCs w:val="28"/>
        </w:rPr>
        <w:t>支付中标人合同金额的30%作为预付款。</w:t>
      </w:r>
    </w:p>
    <w:p>
      <w:pPr>
        <w:numPr>
          <w:ilvl w:val="0"/>
          <w:numId w:val="11"/>
        </w:numPr>
        <w:rPr>
          <w:sz w:val="28"/>
          <w:szCs w:val="28"/>
        </w:rPr>
      </w:pPr>
      <w:r>
        <w:rPr>
          <w:rFonts w:hint="eastAsia"/>
          <w:sz w:val="28"/>
          <w:szCs w:val="28"/>
          <w:lang w:val="en-US" w:eastAsia="zh-CN"/>
        </w:rPr>
        <w:t>中标人</w:t>
      </w:r>
      <w:r>
        <w:rPr>
          <w:rFonts w:hint="eastAsia"/>
          <w:sz w:val="28"/>
          <w:szCs w:val="28"/>
        </w:rPr>
        <w:t>安装调试完毕、试运行不少于10个工作日</w:t>
      </w:r>
      <w:r>
        <w:rPr>
          <w:rFonts w:hint="eastAsia"/>
          <w:sz w:val="28"/>
          <w:szCs w:val="28"/>
          <w:lang w:val="en-US" w:eastAsia="zh-CN"/>
        </w:rPr>
        <w:t>后</w:t>
      </w:r>
      <w:r>
        <w:rPr>
          <w:rFonts w:hint="eastAsia"/>
          <w:sz w:val="28"/>
          <w:szCs w:val="28"/>
        </w:rPr>
        <w:t>，经甲方验收合格</w:t>
      </w:r>
      <w:r>
        <w:rPr>
          <w:rFonts w:hint="eastAsia"/>
          <w:sz w:val="28"/>
          <w:szCs w:val="28"/>
          <w:lang w:eastAsia="zh-CN"/>
        </w:rPr>
        <w:t>、</w:t>
      </w:r>
      <w:r>
        <w:rPr>
          <w:rFonts w:hint="eastAsia"/>
          <w:sz w:val="28"/>
          <w:szCs w:val="28"/>
          <w:lang w:val="en-US" w:eastAsia="zh-CN"/>
        </w:rPr>
        <w:t>中标人提供等额</w:t>
      </w:r>
      <w:r>
        <w:rPr>
          <w:rFonts w:hint="eastAsia" w:asciiTheme="minorHAnsi" w:hAnsiTheme="minorHAnsi" w:eastAsiaTheme="minorEastAsia" w:cstheme="minorBidi"/>
          <w:sz w:val="28"/>
          <w:szCs w:val="28"/>
        </w:rPr>
        <w:t>增值税发票</w:t>
      </w:r>
      <w:r>
        <w:rPr>
          <w:rFonts w:hint="eastAsia"/>
          <w:sz w:val="28"/>
          <w:szCs w:val="28"/>
        </w:rPr>
        <w:t>后30日</w:t>
      </w:r>
      <w:r>
        <w:rPr>
          <w:rFonts w:hint="eastAsia"/>
          <w:sz w:val="28"/>
          <w:szCs w:val="28"/>
          <w:lang w:val="en-US" w:eastAsia="zh-CN"/>
        </w:rPr>
        <w:t>内</w:t>
      </w:r>
      <w:r>
        <w:rPr>
          <w:rFonts w:hint="eastAsia"/>
          <w:sz w:val="28"/>
          <w:szCs w:val="28"/>
        </w:rPr>
        <w:t>，</w:t>
      </w:r>
      <w:r>
        <w:rPr>
          <w:rFonts w:hint="eastAsia"/>
          <w:sz w:val="28"/>
          <w:szCs w:val="28"/>
          <w:lang w:val="en-US" w:eastAsia="zh-CN"/>
        </w:rPr>
        <w:t>招标人</w:t>
      </w:r>
      <w:r>
        <w:rPr>
          <w:rFonts w:hint="eastAsia"/>
          <w:sz w:val="28"/>
          <w:szCs w:val="28"/>
        </w:rPr>
        <w:t>支付70%的合同款。</w:t>
      </w:r>
    </w:p>
    <w:p>
      <w:pPr>
        <w:numPr>
          <w:ilvl w:val="0"/>
          <w:numId w:val="10"/>
        </w:numPr>
        <w:rPr>
          <w:sz w:val="28"/>
          <w:szCs w:val="28"/>
        </w:rPr>
      </w:pPr>
      <w:r>
        <w:rPr>
          <w:rFonts w:hint="eastAsia"/>
          <w:sz w:val="28"/>
          <w:szCs w:val="28"/>
        </w:rPr>
        <w:t>验收</w:t>
      </w:r>
    </w:p>
    <w:p>
      <w:pPr>
        <w:numPr>
          <w:ilvl w:val="0"/>
          <w:numId w:val="12"/>
        </w:numPr>
        <w:rPr>
          <w:sz w:val="28"/>
          <w:szCs w:val="28"/>
        </w:rPr>
      </w:pPr>
      <w:r>
        <w:rPr>
          <w:rFonts w:hint="eastAsia"/>
          <w:sz w:val="28"/>
          <w:szCs w:val="28"/>
        </w:rPr>
        <w:t>展品在深圳市科学馆验收。</w:t>
      </w:r>
    </w:p>
    <w:p>
      <w:pPr>
        <w:numPr>
          <w:ilvl w:val="0"/>
          <w:numId w:val="12"/>
        </w:numPr>
        <w:rPr>
          <w:sz w:val="28"/>
          <w:szCs w:val="28"/>
        </w:rPr>
      </w:pPr>
      <w:r>
        <w:rPr>
          <w:rFonts w:hint="eastAsia"/>
          <w:sz w:val="28"/>
          <w:szCs w:val="28"/>
        </w:rPr>
        <w:t>中标人提出验收申请并向招标人移交展品文档（操作说明、电气设计图纸）和非标准件、通用件的备用件和图纸。</w:t>
      </w:r>
    </w:p>
    <w:p>
      <w:pPr>
        <w:numPr>
          <w:ilvl w:val="0"/>
          <w:numId w:val="12"/>
        </w:numPr>
        <w:rPr>
          <w:sz w:val="28"/>
          <w:szCs w:val="28"/>
        </w:rPr>
      </w:pPr>
      <w:r>
        <w:rPr>
          <w:rFonts w:hint="eastAsia"/>
          <w:sz w:val="28"/>
          <w:szCs w:val="28"/>
        </w:rPr>
        <w:t>招标人将按照招标文件和中标人投标文件中要求与承诺对每件展品材质、规范、质量、环保、功能实现、设计合理性、原理说明和表达等方面逐一核查，全部满足视为验收合格。</w:t>
      </w:r>
    </w:p>
    <w:p>
      <w:pPr>
        <w:pStyle w:val="2"/>
        <w:rPr>
          <w:sz w:val="28"/>
          <w:szCs w:val="28"/>
        </w:rPr>
      </w:pPr>
    </w:p>
    <w:p>
      <w:pPr>
        <w:pStyle w:val="3"/>
      </w:pPr>
    </w:p>
    <w:p>
      <w:pPr>
        <w:numPr>
          <w:ilvl w:val="0"/>
          <w:numId w:val="2"/>
        </w:numPr>
        <w:jc w:val="center"/>
        <w:rPr>
          <w:b/>
          <w:bCs/>
          <w:sz w:val="28"/>
          <w:szCs w:val="28"/>
        </w:rPr>
      </w:pPr>
      <w:r>
        <w:rPr>
          <w:rFonts w:hint="eastAsia"/>
          <w:b/>
          <w:bCs/>
          <w:sz w:val="28"/>
          <w:szCs w:val="28"/>
        </w:rPr>
        <w:t>保留的权利</w:t>
      </w:r>
    </w:p>
    <w:p>
      <w:pPr>
        <w:pStyle w:val="2"/>
        <w:rPr>
          <w:b/>
          <w:bCs/>
          <w:sz w:val="28"/>
          <w:szCs w:val="28"/>
        </w:rPr>
      </w:pPr>
    </w:p>
    <w:p>
      <w:pPr>
        <w:pStyle w:val="3"/>
      </w:pPr>
    </w:p>
    <w:p>
      <w:pPr>
        <w:numPr>
          <w:ilvl w:val="0"/>
          <w:numId w:val="13"/>
        </w:numPr>
        <w:rPr>
          <w:sz w:val="28"/>
          <w:szCs w:val="28"/>
        </w:rPr>
      </w:pPr>
      <w:r>
        <w:rPr>
          <w:rFonts w:hint="eastAsia"/>
          <w:sz w:val="28"/>
          <w:szCs w:val="28"/>
        </w:rPr>
        <w:t>深圳市科学馆有权因采购需求、资金预算变化等因素推迟、更改、取消本次采购活动。</w:t>
      </w:r>
    </w:p>
    <w:p>
      <w:pPr>
        <w:numPr>
          <w:ilvl w:val="0"/>
          <w:numId w:val="13"/>
        </w:numPr>
        <w:rPr>
          <w:sz w:val="28"/>
          <w:szCs w:val="28"/>
        </w:rPr>
      </w:pPr>
      <w:r>
        <w:rPr>
          <w:rFonts w:hint="eastAsia"/>
          <w:sz w:val="28"/>
          <w:szCs w:val="28"/>
        </w:rPr>
        <w:t>对于存在或可能存在知识产权权利归属方面瑕疵的</w:t>
      </w:r>
      <w:r>
        <w:rPr>
          <w:rFonts w:hint="eastAsia"/>
          <w:sz w:val="28"/>
          <w:szCs w:val="28"/>
          <w:lang w:val="en-US" w:eastAsia="zh-CN"/>
        </w:rPr>
        <w:t>投标</w:t>
      </w:r>
      <w:r>
        <w:rPr>
          <w:rFonts w:hint="eastAsia"/>
          <w:sz w:val="28"/>
          <w:szCs w:val="28"/>
        </w:rPr>
        <w:t>文件，深圳市科学馆有权单方面取消该投标人投标文件的评审资格。</w:t>
      </w:r>
    </w:p>
    <w:p>
      <w:pPr>
        <w:numPr>
          <w:ilvl w:val="0"/>
          <w:numId w:val="13"/>
        </w:numPr>
        <w:rPr>
          <w:sz w:val="28"/>
          <w:szCs w:val="28"/>
        </w:rPr>
      </w:pPr>
      <w:r>
        <w:rPr>
          <w:rFonts w:hint="eastAsia"/>
          <w:sz w:val="28"/>
          <w:szCs w:val="28"/>
        </w:rPr>
        <w:t>深圳市科学馆保留对本次采购活动的解释权。</w:t>
      </w:r>
    </w:p>
    <w:p>
      <w:pPr>
        <w:pStyle w:val="2"/>
        <w:rPr>
          <w:sz w:val="28"/>
          <w:szCs w:val="28"/>
        </w:rPr>
      </w:pPr>
    </w:p>
    <w:p>
      <w:pPr>
        <w:pStyle w:val="3"/>
      </w:pPr>
    </w:p>
    <w:p/>
    <w:p>
      <w:pPr>
        <w:numPr>
          <w:ilvl w:val="0"/>
          <w:numId w:val="2"/>
        </w:numPr>
        <w:jc w:val="center"/>
        <w:rPr>
          <w:b/>
          <w:bCs/>
          <w:sz w:val="28"/>
          <w:szCs w:val="28"/>
        </w:rPr>
      </w:pPr>
      <w:r>
        <w:rPr>
          <w:rFonts w:hint="eastAsia"/>
          <w:b/>
          <w:bCs/>
          <w:sz w:val="28"/>
          <w:szCs w:val="28"/>
        </w:rPr>
        <w:t>附件</w:t>
      </w:r>
    </w:p>
    <w:p>
      <w:pPr>
        <w:pStyle w:val="3"/>
      </w:pPr>
    </w:p>
    <w:p>
      <w:pPr>
        <w:numPr>
          <w:ilvl w:val="0"/>
          <w:numId w:val="14"/>
        </w:numPr>
        <w:rPr>
          <w:bCs/>
          <w:color w:val="000000"/>
          <w:sz w:val="32"/>
          <w:szCs w:val="21"/>
        </w:rPr>
      </w:pPr>
      <w:r>
        <w:rPr>
          <w:rFonts w:hint="eastAsia"/>
          <w:sz w:val="28"/>
          <w:szCs w:val="28"/>
        </w:rPr>
        <w:t>附件1：展品外观图</w:t>
      </w:r>
      <w:r>
        <w:rPr>
          <w:rFonts w:hint="eastAsia"/>
          <w:sz w:val="28"/>
          <w:szCs w:val="28"/>
          <w:lang w:eastAsia="zh-CN"/>
        </w:rPr>
        <w:t>（</w:t>
      </w:r>
      <w:r>
        <w:rPr>
          <w:rFonts w:hint="eastAsia"/>
          <w:sz w:val="28"/>
          <w:szCs w:val="28"/>
          <w:lang w:val="en-US" w:eastAsia="zh-CN"/>
        </w:rPr>
        <w:t>示例</w:t>
      </w:r>
      <w:r>
        <w:rPr>
          <w:rFonts w:hint="eastAsia"/>
          <w:sz w:val="28"/>
          <w:szCs w:val="28"/>
          <w:lang w:eastAsia="zh-CN"/>
        </w:rPr>
        <w:t>）</w:t>
      </w:r>
    </w:p>
    <w:p>
      <w:pPr>
        <w:numPr>
          <w:ilvl w:val="0"/>
          <w:numId w:val="14"/>
        </w:numPr>
        <w:rPr>
          <w:bCs/>
          <w:color w:val="000000"/>
          <w:sz w:val="32"/>
          <w:szCs w:val="21"/>
        </w:rPr>
      </w:pPr>
      <w:r>
        <w:rPr>
          <w:rFonts w:hint="eastAsia"/>
          <w:sz w:val="28"/>
          <w:szCs w:val="28"/>
        </w:rPr>
        <w:t>附件2：</w:t>
      </w:r>
      <w:r>
        <w:rPr>
          <w:rFonts w:hint="eastAsia"/>
          <w:bCs/>
          <w:color w:val="000000"/>
          <w:sz w:val="32"/>
          <w:szCs w:val="21"/>
        </w:rPr>
        <w:t>深圳市科学馆流动科技馆展品需求说明</w:t>
      </w:r>
    </w:p>
    <w:p>
      <w:pPr>
        <w:numPr>
          <w:ilvl w:val="0"/>
          <w:numId w:val="14"/>
        </w:numPr>
        <w:rPr>
          <w:bCs/>
          <w:color w:val="000000"/>
          <w:sz w:val="32"/>
          <w:szCs w:val="21"/>
        </w:rPr>
      </w:pPr>
      <w:r>
        <w:rPr>
          <w:rFonts w:hint="eastAsia"/>
          <w:bCs/>
          <w:color w:val="000000"/>
          <w:sz w:val="28"/>
          <w:szCs w:val="28"/>
        </w:rPr>
        <w:t>附件3</w:t>
      </w:r>
      <w:r>
        <w:rPr>
          <w:rFonts w:hint="eastAsia"/>
          <w:bCs/>
          <w:color w:val="000000"/>
          <w:sz w:val="32"/>
          <w:szCs w:val="21"/>
        </w:rPr>
        <w:t>：深圳市科学馆流动科技馆展品采购评分表</w:t>
      </w:r>
    </w:p>
    <w:p>
      <w:pPr>
        <w:numPr>
          <w:ilvl w:val="0"/>
          <w:numId w:val="14"/>
        </w:numPr>
        <w:rPr>
          <w:sz w:val="28"/>
          <w:szCs w:val="28"/>
        </w:rPr>
      </w:pPr>
      <w:r>
        <w:rPr>
          <w:rFonts w:hint="eastAsia"/>
          <w:sz w:val="28"/>
          <w:szCs w:val="28"/>
        </w:rPr>
        <w:t>附件4：合同条款</w:t>
      </w:r>
    </w:p>
    <w:p>
      <w:pPr>
        <w:numPr>
          <w:ilvl w:val="0"/>
          <w:numId w:val="14"/>
        </w:numPr>
        <w:rPr>
          <w:sz w:val="28"/>
          <w:szCs w:val="28"/>
        </w:rPr>
      </w:pPr>
      <w:r>
        <w:rPr>
          <w:rFonts w:hint="eastAsia"/>
          <w:sz w:val="28"/>
          <w:szCs w:val="28"/>
        </w:rPr>
        <w:t>附件5：投标文件编排指引</w:t>
      </w:r>
    </w:p>
    <w:p>
      <w:pPr>
        <w:pStyle w:val="12"/>
      </w:pPr>
    </w:p>
    <w:p>
      <w:pPr>
        <w:jc w:val="right"/>
        <w:rPr>
          <w:sz w:val="28"/>
          <w:szCs w:val="28"/>
        </w:rPr>
      </w:pPr>
    </w:p>
    <w:p>
      <w:pPr>
        <w:jc w:val="right"/>
        <w:rPr>
          <w:sz w:val="28"/>
          <w:szCs w:val="28"/>
        </w:rPr>
      </w:pPr>
    </w:p>
    <w:p>
      <w:pPr>
        <w:jc w:val="right"/>
        <w:rPr>
          <w:sz w:val="28"/>
          <w:szCs w:val="28"/>
        </w:rPr>
      </w:pPr>
      <w:r>
        <w:rPr>
          <w:rFonts w:hint="eastAsia"/>
          <w:sz w:val="28"/>
          <w:szCs w:val="28"/>
        </w:rPr>
        <w:t>　　　　　　　　　　　　　　　　　　　　                   　深 圳 市 科 学 馆　　　　　　　　　　　　　　　　　　　　                 　　2021年6月2</w:t>
      </w:r>
      <w:r>
        <w:rPr>
          <w:rFonts w:hint="eastAsia"/>
          <w:sz w:val="28"/>
          <w:szCs w:val="28"/>
          <w:lang w:val="en-US" w:eastAsia="zh-CN"/>
        </w:rPr>
        <w:t>9</w:t>
      </w:r>
      <w:r>
        <w:rPr>
          <w:rFonts w:hint="eastAsia"/>
          <w:sz w:val="28"/>
          <w:szCs w:val="28"/>
        </w:rPr>
        <w:t>日</w:t>
      </w:r>
    </w:p>
    <w:p>
      <w:pPr>
        <w:rPr>
          <w:sz w:val="30"/>
          <w:szCs w:val="30"/>
        </w:rPr>
      </w:pPr>
    </w:p>
    <w:p>
      <w:pPr>
        <w:rPr>
          <w:sz w:val="30"/>
          <w:szCs w:val="30"/>
        </w:rPr>
      </w:pPr>
    </w:p>
    <w:p>
      <w:pPr>
        <w:pStyle w:val="2"/>
        <w:rPr>
          <w:sz w:val="30"/>
          <w:szCs w:val="30"/>
        </w:rPr>
      </w:pPr>
    </w:p>
    <w:p>
      <w:pPr>
        <w:pStyle w:val="3"/>
        <w:rPr>
          <w:sz w:val="30"/>
          <w:szCs w:val="30"/>
        </w:rPr>
      </w:pPr>
    </w:p>
    <w:p>
      <w:pPr>
        <w:rPr>
          <w:sz w:val="30"/>
          <w:szCs w:val="30"/>
        </w:rPr>
      </w:pPr>
    </w:p>
    <w:p>
      <w:pPr>
        <w:pStyle w:val="2"/>
        <w:rPr>
          <w:sz w:val="30"/>
          <w:szCs w:val="30"/>
        </w:rPr>
      </w:pPr>
    </w:p>
    <w:p>
      <w:pPr>
        <w:pStyle w:val="3"/>
        <w:rPr>
          <w:sz w:val="30"/>
          <w:szCs w:val="30"/>
        </w:rPr>
      </w:pPr>
    </w:p>
    <w:p>
      <w:pPr>
        <w:rPr>
          <w:ins w:id="2" w:author="XIAO" w:date="2021-06-28T09:54:37Z"/>
          <w:rFonts w:hint="eastAsia"/>
          <w:sz w:val="30"/>
          <w:szCs w:val="30"/>
        </w:rPr>
      </w:pPr>
    </w:p>
    <w:p>
      <w:pPr>
        <w:rPr>
          <w:bCs/>
          <w:color w:val="000000"/>
          <w:sz w:val="36"/>
          <w:szCs w:val="22"/>
        </w:rPr>
      </w:pPr>
      <w:r>
        <w:rPr>
          <w:rFonts w:hint="eastAsia"/>
          <w:sz w:val="30"/>
          <w:szCs w:val="30"/>
        </w:rPr>
        <w:t>附件 1：展品外观图</w:t>
      </w:r>
      <w:r>
        <w:rPr>
          <w:rFonts w:hint="eastAsia"/>
          <w:sz w:val="28"/>
          <w:szCs w:val="28"/>
          <w:lang w:eastAsia="zh-CN"/>
        </w:rPr>
        <w:t>（</w:t>
      </w:r>
      <w:r>
        <w:rPr>
          <w:rFonts w:hint="eastAsia"/>
          <w:sz w:val="28"/>
          <w:szCs w:val="28"/>
          <w:lang w:val="en-US" w:eastAsia="zh-CN"/>
        </w:rPr>
        <w:t>示例</w:t>
      </w:r>
      <w:r>
        <w:rPr>
          <w:rFonts w:hint="eastAsia"/>
          <w:sz w:val="28"/>
          <w:szCs w:val="28"/>
          <w:lang w:eastAsia="zh-CN"/>
        </w:rPr>
        <w:t>）</w:t>
      </w:r>
    </w:p>
    <w:p>
      <w:pPr>
        <w:rPr>
          <w:sz w:val="30"/>
          <w:szCs w:val="30"/>
        </w:rPr>
      </w:pPr>
      <w:r>
        <w:drawing>
          <wp:inline distT="0" distB="0" distL="114300" distR="114300">
            <wp:extent cx="4328795" cy="7600315"/>
            <wp:effectExtent l="0" t="0" r="14605" b="635"/>
            <wp:docPr id="13" name="图片占位符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图片占位符 9"/>
                    <pic:cNvPicPr>
                      <a:picLocks noGrp="1" noChangeAspect="1"/>
                    </pic:cNvPicPr>
                  </pic:nvPicPr>
                  <pic:blipFill>
                    <a:blip r:embed="rId5" cstate="print">
                      <a:extLst>
                        <a:ext uri="{28A0092B-C50C-407E-A947-70E740481C1C}">
                          <a14:useLocalDpi xmlns:a14="http://schemas.microsoft.com/office/drawing/2010/main" val="0"/>
                        </a:ext>
                      </a:extLst>
                    </a:blip>
                    <a:srcRect l="31452" t="5472" r="29785" b="3803"/>
                    <a:stretch>
                      <a:fillRect/>
                    </a:stretch>
                  </pic:blipFill>
                  <pic:spPr>
                    <a:xfrm>
                      <a:off x="0" y="0"/>
                      <a:ext cx="4328795" cy="7600315"/>
                    </a:xfrm>
                    <a:prstGeom prst="rect">
                      <a:avLst/>
                    </a:prstGeom>
                  </pic:spPr>
                </pic:pic>
              </a:graphicData>
            </a:graphic>
          </wp:inline>
        </w:drawing>
      </w:r>
    </w:p>
    <w:p>
      <w:pPr>
        <w:rPr>
          <w:rFonts w:hint="eastAsia" w:eastAsiaTheme="minorEastAsia"/>
          <w:sz w:val="30"/>
          <w:szCs w:val="30"/>
          <w:lang w:eastAsia="zh-CN"/>
        </w:rPr>
      </w:pPr>
      <w:r>
        <w:rPr>
          <w:rFonts w:hint="eastAsia"/>
          <w:sz w:val="30"/>
          <w:szCs w:val="30"/>
          <w:lang w:eastAsia="zh-CN"/>
        </w:rPr>
        <w:t>（</w:t>
      </w:r>
      <w:r>
        <w:rPr>
          <w:rFonts w:hint="eastAsia"/>
          <w:sz w:val="30"/>
          <w:szCs w:val="30"/>
          <w:lang w:val="en-US" w:eastAsia="zh-CN"/>
        </w:rPr>
        <w:t>本图片仅为示例参考，投标人可根据自身设计理念自行设计</w:t>
      </w:r>
      <w:r>
        <w:rPr>
          <w:rFonts w:hint="eastAsia"/>
          <w:sz w:val="30"/>
          <w:szCs w:val="30"/>
          <w:lang w:eastAsia="zh-CN"/>
        </w:rPr>
        <w:t>）</w:t>
      </w:r>
    </w:p>
    <w:p>
      <w:pPr>
        <w:pStyle w:val="2"/>
        <w:rPr>
          <w:sz w:val="30"/>
          <w:szCs w:val="30"/>
        </w:rPr>
      </w:pPr>
    </w:p>
    <w:p>
      <w:pPr>
        <w:pStyle w:val="3"/>
      </w:pPr>
    </w:p>
    <w:p>
      <w:pPr>
        <w:rPr>
          <w:bCs/>
          <w:color w:val="000000"/>
          <w:sz w:val="36"/>
          <w:szCs w:val="22"/>
        </w:rPr>
      </w:pPr>
      <w:r>
        <w:rPr>
          <w:rFonts w:hint="eastAsia"/>
          <w:sz w:val="30"/>
          <w:szCs w:val="30"/>
        </w:rPr>
        <w:t>附件 2：</w:t>
      </w:r>
      <w:r>
        <w:rPr>
          <w:rFonts w:hint="eastAsia"/>
          <w:bCs/>
          <w:color w:val="000000"/>
          <w:sz w:val="36"/>
          <w:szCs w:val="22"/>
        </w:rPr>
        <w:t>深圳市科学馆流动科技馆展品需求说明</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6"/>
        <w:gridCol w:w="1453"/>
        <w:gridCol w:w="6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tcPr>
          <w:p>
            <w:pPr>
              <w:jc w:val="center"/>
              <w:rPr>
                <w:rFonts w:ascii="仿宋" w:hAnsi="仿宋" w:eastAsia="仿宋" w:cs="仿宋"/>
                <w:b/>
                <w:color w:val="000000"/>
                <w:szCs w:val="15"/>
              </w:rPr>
            </w:pPr>
            <w:r>
              <w:rPr>
                <w:rFonts w:hint="eastAsia" w:ascii="仿宋" w:hAnsi="仿宋" w:eastAsia="仿宋" w:cs="仿宋"/>
                <w:b/>
                <w:color w:val="000000"/>
                <w:szCs w:val="15"/>
              </w:rPr>
              <w:t>序号</w:t>
            </w:r>
          </w:p>
        </w:tc>
        <w:tc>
          <w:tcPr>
            <w:tcW w:w="1453" w:type="dxa"/>
          </w:tcPr>
          <w:p>
            <w:pPr>
              <w:jc w:val="center"/>
              <w:rPr>
                <w:rFonts w:ascii="仿宋" w:hAnsi="仿宋" w:eastAsia="仿宋" w:cs="仿宋"/>
                <w:b/>
                <w:color w:val="000000"/>
                <w:szCs w:val="15"/>
              </w:rPr>
            </w:pPr>
            <w:r>
              <w:rPr>
                <w:rFonts w:hint="eastAsia" w:ascii="仿宋" w:hAnsi="仿宋" w:eastAsia="仿宋" w:cs="仿宋"/>
                <w:b/>
                <w:color w:val="000000"/>
                <w:szCs w:val="15"/>
              </w:rPr>
              <w:t>展品名称</w:t>
            </w:r>
          </w:p>
        </w:tc>
        <w:tc>
          <w:tcPr>
            <w:tcW w:w="6713" w:type="dxa"/>
          </w:tcPr>
          <w:p>
            <w:pPr>
              <w:jc w:val="center"/>
              <w:rPr>
                <w:rFonts w:ascii="仿宋" w:hAnsi="仿宋" w:eastAsia="仿宋" w:cs="仿宋"/>
                <w:b/>
                <w:color w:val="000000"/>
                <w:szCs w:val="15"/>
              </w:rPr>
            </w:pPr>
            <w:r>
              <w:rPr>
                <w:rFonts w:hint="eastAsia" w:ascii="仿宋" w:hAnsi="仿宋" w:eastAsia="仿宋" w:cs="仿宋"/>
                <w:b/>
                <w:color w:val="000000"/>
                <w:szCs w:val="15"/>
              </w:rPr>
              <w:t>展示要求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9" w:hRule="atLeast"/>
        </w:trPr>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变幻的风景</w:t>
            </w:r>
          </w:p>
        </w:tc>
        <w:tc>
          <w:tcPr>
            <w:tcW w:w="6713" w:type="dxa"/>
          </w:tcPr>
          <w:p>
            <w:pPr>
              <w:spacing w:after="240"/>
              <w:jc w:val="left"/>
              <w:rPr>
                <w:rFonts w:ascii="仿宋" w:hAnsi="仿宋" w:eastAsia="仿宋" w:cs="仿宋"/>
                <w:color w:val="000000"/>
                <w:sz w:val="24"/>
              </w:rPr>
            </w:pPr>
            <w:r>
              <w:rPr>
                <w:rFonts w:hint="eastAsia" w:ascii="仿宋" w:hAnsi="仿宋" w:eastAsia="仿宋" w:cs="仿宋"/>
                <w:color w:val="000000"/>
                <w:sz w:val="24"/>
              </w:rPr>
              <w:t>展品主要由转盘、偏振片、显示屏等组成。灯箱内靠近灯源侧镶嵌着一层偏振片，发出的光为偏振光。灯箱最外侧覆盖着不同厚度的透明薄膜，转盘内侧贴有一层偏振片，不同厚度的薄膜对偏振光产生不同程度的折射。当观众参与时，转动转盘，转盘内的偏振片对光的偏振方向发生偏振，光线就会显示出不同的颜色和亮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光线游戏</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品主要由光学元件、光电传感器、旋钮、按钮、LED灯带等组成。光线游戏中的光学元件即是平面镜。观众按下“启动”按钮，起点处会发射出一束激光，转动旋钮控制平面镜旋转，使激光束通过镜面时产生反射，以改变光线的传播方向，让光束到达顶部的终点接收端并触发接收端的光电传感器，点亮LED灯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镜面立方体</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品主要由平面镜、手轮、彩条等组成。四块平面镜大小不一、形状不同，以特定角度组合在一起，嵌入的彩条会在镜面上形成立方体的影像。互动参与时，观众通过转动手轮，控制彩条上下移动，可以看到彩条形成的立方体影像尺寸也会发生相应改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队列进行</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展品由手轮、转盘、小人模型、频闪灯等组成。转动手轮，频闪灯亮起，转盘转动，小人模型也会随之动起来。在频闪灯的配合下，观众可以看到原来静态的小人模型呈现出连续的活动影像。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骨传导</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展项主要由手轮、按钮、喇叭等组成。参与时，观众按下“外接声源”按钮，将音频接头插入正在播放音乐的自带声源；或者按下“自动播放”按钮。把手肘放在桌面标记处，用手掌捂住耳朵，聆听声音。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跳动的心脏</w:t>
            </w:r>
          </w:p>
        </w:tc>
        <w:tc>
          <w:tcPr>
            <w:tcW w:w="6713" w:type="dxa"/>
            <w:vAlign w:val="center"/>
          </w:tcPr>
          <w:p>
            <w:pPr>
              <w:spacing w:after="240"/>
              <w:rPr>
                <w:rFonts w:ascii="仿宋" w:hAnsi="仿宋" w:eastAsia="仿宋" w:cs="仿宋"/>
                <w:color w:val="000000"/>
                <w:sz w:val="24"/>
              </w:rPr>
            </w:pPr>
            <w:r>
              <w:rPr>
                <w:rFonts w:hint="eastAsia" w:ascii="仿宋" w:hAnsi="仿宋" w:eastAsia="仿宋" w:cs="仿宋"/>
                <w:color w:val="000000"/>
                <w:sz w:val="24"/>
              </w:rPr>
              <w:t>展项主要由手轮、按钮、喇叭等组成。参与时，观众按下“外接声源”按钮，将音频接头插入正在播放音乐的自带声源；或者按下“自动播放”按钮。把手肘放在桌面标记处，用手掌捂住耳朵，聆听声音。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牛顿环</w:t>
            </w:r>
          </w:p>
        </w:tc>
        <w:tc>
          <w:tcPr>
            <w:tcW w:w="6713" w:type="dxa"/>
            <w:vAlign w:val="center"/>
          </w:tcPr>
          <w:p>
            <w:pPr>
              <w:rPr>
                <w:rFonts w:ascii="仿宋" w:hAnsi="仿宋" w:eastAsia="仿宋" w:cs="仿宋"/>
                <w:sz w:val="24"/>
              </w:rPr>
            </w:pPr>
            <w:r>
              <w:rPr>
                <w:rFonts w:hint="eastAsia" w:ascii="仿宋" w:hAnsi="仿宋" w:eastAsia="仿宋" w:cs="仿宋"/>
                <w:sz w:val="24"/>
              </w:rPr>
              <w:t>该展项主要演示“牛顿环”这一薄膜干涉现象，主要由旋钮、凸透镜、平面玻璃、钠光源（光源为白、绿、蓝、黄四种颜色）、展台等组成。其中凸透镜的凸面和平面玻璃接触相接触，观众可以轻轻按压玻璃板，会发现按压处为一暗点，周围为一些明暗相间的圆环。观众还可旋转旋钮，选择白光或彩色光照射。当观众选择白光照射时，可以看到接触点为一暗点，其周围为一些明暗相间的彩色圆环；而当选择彩色光照射时，其周围则表现为一些明暗相间的单色圆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望远镜</w:t>
            </w:r>
          </w:p>
        </w:tc>
        <w:tc>
          <w:tcPr>
            <w:tcW w:w="6713" w:type="dxa"/>
            <w:vAlign w:val="center"/>
          </w:tcPr>
          <w:p>
            <w:pPr>
              <w:rPr>
                <w:rFonts w:ascii="仿宋" w:hAnsi="仿宋" w:eastAsia="仿宋" w:cs="仿宋"/>
                <w:color w:val="000000"/>
                <w:sz w:val="24"/>
              </w:rPr>
            </w:pPr>
            <w:r>
              <w:rPr>
                <w:rFonts w:hint="eastAsia" w:ascii="仿宋" w:hAnsi="仿宋" w:eastAsia="仿宋" w:cs="仿宋"/>
                <w:sz w:val="24"/>
              </w:rPr>
              <w:t>展项通过机械互动的方式，向观众展示凹凸面镜组合成像原理，展项由望远镜模型、转盘和旋钮等装置构成，参与时，观众可以通过旋转望远镜看到远处的景物，通过观察和体验，了解凹凸面镜组合成像原理。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丁达尔效应</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的主要目的是展示丁达尔效应，展项是由两个密闭容器等装置构成，其中一个容器内充满胶体，参与时，使用光源照射容器内，光源在胶体内由于胶体产生丁达尔效应，光束发生散射现象，另一个容器内为特制溶液，使用光源照射容器内，可明显观察到光源沿直线传播，不发生散射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无影灯</w:t>
            </w:r>
          </w:p>
        </w:tc>
        <w:tc>
          <w:tcPr>
            <w:tcW w:w="6713" w:type="dxa"/>
            <w:vAlign w:val="center"/>
          </w:tcPr>
          <w:p>
            <w:pPr>
              <w:rPr>
                <w:rFonts w:ascii="仿宋" w:hAnsi="仿宋" w:eastAsia="仿宋" w:cs="仿宋"/>
                <w:color w:val="000000"/>
                <w:sz w:val="24"/>
              </w:rPr>
            </w:pPr>
            <w:r>
              <w:rPr>
                <w:rFonts w:hint="eastAsia" w:ascii="仿宋" w:hAnsi="仿宋" w:eastAsia="仿宋" w:cs="仿宋"/>
                <w:sz w:val="24"/>
              </w:rPr>
              <w:t>展项主要展示目的是让观众了解X射线穿透的作用，展项由金属罩、X射线透视仪、显示器等装置构成，参与时，当观众站在展台前，当金属罩内没有物体时，X光机处于关闭状态，显示屏上播放关于X射线应用的科普视频；当观众将手放入金属罩内，X光机随之启动，并将观众手部的透视图像实时传送到显示屏上供观众观察。使观众对X射线透视技术产生感性的认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日食与月食</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的主要展示目的是向观众展示光是沿直线传播的原理，展项由月球和地球模型、灯光、护罩及按钮等装置构成，参与时，按下启动按钮，通过光源模拟的太阳光以及模型的转动，分别会出现日食与月食，观众可通过旁边的语音介绍来了解出现日食与月食的现象以及太阳、地球和月球三者的位置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弯曲的光线</w:t>
            </w:r>
          </w:p>
        </w:tc>
        <w:tc>
          <w:tcPr>
            <w:tcW w:w="6713" w:type="dxa"/>
            <w:vAlign w:val="center"/>
          </w:tcPr>
          <w:p>
            <w:pPr>
              <w:rPr>
                <w:rFonts w:ascii="仿宋" w:hAnsi="仿宋" w:eastAsia="仿宋" w:cs="仿宋"/>
                <w:color w:val="000000"/>
                <w:sz w:val="24"/>
              </w:rPr>
            </w:pPr>
            <w:r>
              <w:rPr>
                <w:rFonts w:hint="eastAsia" w:ascii="仿宋" w:hAnsi="仿宋" w:eastAsia="仿宋" w:cs="仿宋"/>
                <w:sz w:val="24"/>
              </w:rPr>
              <w:t>展项根据洛伦兹力，主要是由阴极射线管和射线管电源构成。观众参与时，按下“启动”按钮，可以看到光线是按直线传播的，拿起磁铁靠近光线时，光线发生了弯曲。展项主要展现了运动电荷在磁场中所受到力的作用，通过有趣的互动，让观众了解其中的科学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气体发光</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要由惰性气体管和高压发生器组合而，观众参与时，接通电源，按下启动按钮，通过高压发生器将电流增压通过惰性气体管，使不同惰性气体发出不同颜色的光，想想为什么会发生这样的神奇现象。思考生活中有哪些物品运用到了这样的科学原理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sz w:val="24"/>
              </w:rPr>
            </w:pPr>
          </w:p>
        </w:tc>
        <w:tc>
          <w:tcPr>
            <w:tcW w:w="1453" w:type="dxa"/>
            <w:vAlign w:val="center"/>
          </w:tcPr>
          <w:p>
            <w:pPr>
              <w:jc w:val="center"/>
              <w:rPr>
                <w:rFonts w:ascii="仿宋" w:hAnsi="仿宋" w:eastAsia="仿宋" w:cs="仿宋"/>
                <w:sz w:val="24"/>
              </w:rPr>
            </w:pPr>
            <w:r>
              <w:rPr>
                <w:rFonts w:hint="eastAsia" w:ascii="仿宋" w:hAnsi="仿宋" w:eastAsia="仿宋" w:cs="仿宋"/>
                <w:sz w:val="24"/>
              </w:rPr>
              <w:t>滚动的摩尔纹</w:t>
            </w:r>
          </w:p>
        </w:tc>
        <w:tc>
          <w:tcPr>
            <w:tcW w:w="6713" w:type="dxa"/>
            <w:vAlign w:val="center"/>
          </w:tcPr>
          <w:p>
            <w:pPr>
              <w:rPr>
                <w:rFonts w:ascii="仿宋" w:hAnsi="仿宋" w:eastAsia="仿宋" w:cs="仿宋"/>
                <w:sz w:val="24"/>
              </w:rPr>
            </w:pPr>
            <w:r>
              <w:rPr>
                <w:rFonts w:hint="eastAsia" w:ascii="仿宋" w:hAnsi="仿宋" w:eastAsia="仿宋" w:cs="仿宋"/>
                <w:sz w:val="24"/>
              </w:rPr>
              <w:t>展项主要有方盒、滚动轴、灯箱组成，方盒背板使用灯箱制作。观众参与时，轻轻按压翘起的一侧，观察方盒内滚动的摩尔条纹。所谓摩尔条纹，是两条线或两个物体之间以恒定的角度和频率发生干涉的视觉结果。在此展项中，观众无法分辨这两条线或两个物体时，只能看到干涉的花纹，由于这种光学现象为18世纪法国研究人员摩尔先生首先发现的，顾名摩尔条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音乐转盘</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展项主要由电机、按钮、发声模块、敲杆等组成。</w:t>
            </w:r>
          </w:p>
          <w:p>
            <w:pPr>
              <w:rPr>
                <w:rFonts w:ascii="仿宋" w:hAnsi="仿宋" w:eastAsia="仿宋" w:cs="仿宋"/>
                <w:color w:val="000000"/>
                <w:sz w:val="24"/>
              </w:rPr>
            </w:pPr>
            <w:r>
              <w:rPr>
                <w:rFonts w:hint="eastAsia" w:ascii="仿宋" w:hAnsi="仿宋" w:eastAsia="仿宋" w:cs="仿宋"/>
                <w:color w:val="000000"/>
                <w:sz w:val="24"/>
              </w:rPr>
              <w:t>参观时，观众按下“启动”按钮，展项内部电机启动，带动台面敲杆不停旋转，并敲响四周各发声模块。观众也可通过手柄调整发声模块位置，编出完全属于自己的音乐。各模块材质不同，发出的音色也不同，而相同材质不同大小的物体也会发出不一样的音调，通过将这些物体排列组合，观众可创造出一首属于自己的音乐，并发现音乐与音色、音调和节奏之间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跳舞回形针</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展项主要由亚克力防护罩、回形针、按钮等组成。</w:t>
            </w:r>
          </w:p>
          <w:p>
            <w:pPr>
              <w:rPr>
                <w:rFonts w:ascii="仿宋" w:hAnsi="仿宋" w:eastAsia="仿宋" w:cs="仿宋"/>
                <w:color w:val="000000"/>
                <w:sz w:val="24"/>
              </w:rPr>
            </w:pPr>
            <w:r>
              <w:rPr>
                <w:rFonts w:hint="eastAsia" w:ascii="仿宋" w:hAnsi="仿宋" w:eastAsia="仿宋" w:cs="仿宋"/>
                <w:color w:val="000000"/>
                <w:sz w:val="24"/>
              </w:rPr>
              <w:t>参与时，观众按下“外接声源”按钮，将音频接头插入正在播放音乐的自带声源，或者按下“自动播放”按钮，可以看到，当音乐响起时，回形针如同有经验的杂技演员，“站立”起来并随着音乐节奏跳起舞蹈。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跳舞静电球</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展项主要由防护罩、金属球、金属包裹的泡沫小球、按钮等组成。中心金属球接高压静电，外层防护罩接地。</w:t>
            </w:r>
          </w:p>
          <w:p>
            <w:pPr>
              <w:rPr>
                <w:rFonts w:ascii="仿宋" w:hAnsi="仿宋" w:eastAsia="仿宋" w:cs="仿宋"/>
                <w:color w:val="000000"/>
                <w:sz w:val="24"/>
              </w:rPr>
            </w:pPr>
            <w:r>
              <w:rPr>
                <w:rFonts w:hint="eastAsia" w:ascii="仿宋" w:hAnsi="仿宋" w:eastAsia="仿宋" w:cs="仿宋"/>
                <w:color w:val="000000"/>
                <w:sz w:val="24"/>
              </w:rPr>
              <w:t>参与时，观众按下开始按钮启动展项后，中心金属球产生电荷，此时可以发现小球会在大球的吸引下做无规则的跳动。起初由于金属球的电荷吸引作用将小球吸引到金属球上，后因同化作用使小球与金属球带同种电荷因而被弹出，当碰触防护罩时因接地将电荷释放，如此循环往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电磁魔碗</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展项主要由护罩、超薄线圈、金属球、按钮等共同组成。观众参观时，按下“启动”按钮，金属球即会在电磁作用下沿碗的侧面作圆周运动，并呈现出加速螺旋向上的状态。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磁悬浮列车原理</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展项主要由磁悬浮列车模型、装有若干线圈的转盘和手轮等组成。参观时，观众快速转动手轮，即可看到列车慢慢悬浮起来。通过刻度尺可观察列车悬浮的高度，并且会发现，手轮转得越快，列车悬浮的越高。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切开几何体</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展台上设置了一个环形框，框内镶嵌激光发生器，使得整个环形框内形成一把由激光束构成的切割面。参与时，观众把各种几何体道具（圆锥体，球体，立方体等）放在这个激光束切割面范围内，几何体上就能清晰地看到被切割处的截面形状。几何截面的形状可能是圆、椭圆，也可能是多边形，如梯形、三角形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机械渐变</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该展项主要由一个“机械花”机构、手轮等组成。转动手轮，带动“花瓣”转动，观众可以看到一个不断运动变化的花朵。这主要演示了莫尔条纹这种光学现象即：两条线或两个物体之间以恒定的角度和频率发生干涉的视觉结果，当人眼无法分辨这两条线或两个物体时，只能看到干涉的花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正六边形棋盘</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台上嵌有一块触摸显示屏，短边为底放置。屏幕上有一正六边形棋盘，棋盘内用线条分划成54个（或96个）正三角形。屏幕上方出现菱形小块，菱形块大小相当于2个正三角形。展台上有4个实体按钮左，右，下，旋转。每局游戏开局时棋盘上已固定有三个菱形块。待菱形块填满棋盘，棋盘上的菱形块即根据方向不同被赋予三种不同颜色，并显示三种方向菱形块的数量。观众观察由此形成的立体堆箱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圆柱、球与圆锥</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该展项由两组转盘装置组成，两组转盘背向设置。其中一个转盘上固定一个球体容器和一个圆柱体容器。其中圆柱体的直径和高都与球体直径一样。观众可转动转盘，观察液体在球体与圆锥体之间的流动。在另一个转盘上，固定一个球体容器和一组4个圆锥体容器，其中圆锥的直径等于球体直径，圆锥的高等于球体的半径。观众参与时，转动转</w:t>
            </w:r>
            <w:r>
              <w:rPr>
                <w:rFonts w:hint="eastAsia" w:ascii="仿宋" w:hAnsi="仿宋" w:eastAsia="仿宋" w:cs="仿宋"/>
                <w:sz w:val="24"/>
              </w:rPr>
              <w:t>盘</w:t>
            </w:r>
            <w:r>
              <w:rPr>
                <w:rFonts w:hint="eastAsia" w:ascii="仿宋" w:hAnsi="仿宋" w:eastAsia="仿宋" w:cs="仿宋"/>
                <w:color w:val="000000"/>
                <w:sz w:val="24"/>
              </w:rPr>
              <w:t>，观察液体在球体与圆锥体之间的流动。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二进制超市</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这里的钞票面额是按照二进制设置的，1元、2元、4元、8元、16元、32元、64元（这些数字在二进制中分别是1、10、100、1000、10000、100000、1000000），它的好玩之处在于，每次购物时候只要带齐一套，就可以组成1到127的任意数额。但是，为什么我们生活中使用的钞票面额不是这样设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机械幻影</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该展项主要由手轮、机械传动结构、光栅、静态图案等组成，主要展示光栅动画的原理。观众参与时，可转动手轮，带动机械传动机构运动，从而带动光栅的不断变化，观众则可以看到动态的“YES”或“NO”动画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视错觉钟</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由按钮、特质时钟等部分组成。展项中使用的时钟，配有匀速转动的黑色指针，指针宽度可覆盖一条黑条纹和一条与其相邻的白条纹。当指针顺时针匀速转动并与某条黑条纹右边界重合时，在指针扫过黑条纹的时间内，参观者便感觉指针是“静止”的；当指针穿过黑条纹进入白条纹时，在指针扫过白条纹的时间内，由于黑白色参照对比，参观者便感觉指针是“跳动”的。极大的认知反差给参观者带来不一样的体验和感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奇妙的运动</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由圆盘、手轮、通电玻璃等组成。参与互动时，观众转动手轮，观察逐渐亮起光斑的运动轨迹，可以看到8个光斑组成的圆形灯圈沿着大圆的内部滚动时，每一个光斑的运动轨迹是一条直线。玻璃通电透明后，观众可观察展品的内部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牙齿</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要由圆形转盘和多媒体显示屏组成，圆形转盘的一周共设置八个牙齿模型和一个石材样本，八个牙齿模型分别为恒牙中切牙、恒侧切牙、恒尖牙、第一恒双尖牙、第二恒双尖牙、第一恒磨牙、第二恒磨牙、第三恒磨牙。圆形转盘中央为显示屏，显示屏下方设置箭头。显示屏待机界面显示操作说明。</w:t>
            </w:r>
          </w:p>
          <w:p>
            <w:pPr>
              <w:rPr>
                <w:rFonts w:ascii="仿宋" w:hAnsi="仿宋" w:eastAsia="仿宋" w:cs="仿宋"/>
                <w:color w:val="000000"/>
                <w:sz w:val="24"/>
              </w:rPr>
            </w:pPr>
            <w:r>
              <w:rPr>
                <w:rFonts w:hint="eastAsia" w:ascii="仿宋" w:hAnsi="仿宋" w:eastAsia="仿宋" w:cs="仿宋"/>
                <w:color w:val="000000"/>
                <w:sz w:val="24"/>
              </w:rPr>
              <w:t>参与时，观众可以观看操作说明，根据提示转动转盘使任意模型位于箭头位置，显示屏开始播放动画，展现牙齿种类、功能、硬度、牙病、牙齿保健等相关知识。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协调能力</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该展项主要由转盘、小球、亚克力护罩、数码管等组成，展项展台上设置了一个转盘，转盘上设置有三个小凹坑。观众参与时，可通过慢慢调整转盘的角度，而不能借助其他外力，使转盘里面的3个小球移动并分别停留在3个小凹坑里。观察台体上的数码管数值，了解自己所用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声音为什么升高</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该展品主要有按钮、灯箱板、传感器系统等组成。彩色灯箱板组成了一个多彩“键盘”，观众参与时，可按下“启动”按钮，会看到灯箱板依次亮起，并听到一组“嘟嘟”声。观众还可依次或随机触摸灯箱板，对应的灯箱板亮起，并听到“嘟嘟”声。观众可对比自动播放的连续的“嘟嘟”声和手动播放的“嘟嘟”声其实音调是否一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锁具的奥秘-密码锁</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体为密码锁装置，主要由锁环、锁扣、密码盘等组成，主要向观众展示密码锁的开启原理。观众参与时，将密码转盘向右顺时针旋转三圈以上停留在34；然后向左逆时针旋转一圈后，越过34停留在39；最后向右顺时针直接拨到30，拉起锁环，开锁完成。整个过程可以停顿，不可以倒退，如果密码拨错了，请重头开始！</w:t>
            </w:r>
          </w:p>
          <w:p>
            <w:pPr>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锁具的奥秘-一字锁</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展项主体由一字锁装置组成，一字锁主要由锁芯，弹子，弹簧，锁舌，钥匙构成。观众参与时，可将钥匙完全插入锁中，然后旋转钥匙，通过透明的锁筒观察一字锁如何被打开。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锁具的奥秘-十字锁</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展项主体由十字锁装置组成，十字锁主要由锁芯，弹子，弹簧，锁舌，钥匙构成。观众参与时，可将钥匙完全插入锁中，然后旋转钥匙，通过透明的锁筒观察十字锁如何被打开。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锁具的奥秘-圆柱锁</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展项主体由圆柱锁装置组成，圆柱锁主要由锁芯，弹子，弹簧，锁舌，钥匙构成。观众参与时，可将钥匙完全插入锁中，然后旋转钥匙，通过透明的锁筒观察圆柱锁如何被打开。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声驻波</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声源发出声波后，声波会在管内另一端发生反射。反射波沿原路返回就会与入时波相遇，这时候这两列报辑、频率、操动方向相同借传播方向相反的声波相互叠加。我们把这种量加形成的波称为驻波。当声波频率改变时，波腹、波节的位置会发生改变，颗粒凸起点和回箱点的疏密程度就不一样了，看起来就好像它们在“跳舞”一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手蓄电池</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品中，不同的金属棒作为正负电极，而人手上有汗液，充当了电解液，就组成了一个简单的电池。正负电极的化学活发性不同，负极比正极更活泼些，它们和汗液发生化学反应，就产生电流，所以双手握住不同的金属棒时，检流计指针偏转，并且是向手盖电池的正极方向偏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科里奥利力</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当大圆盘静止时，皮带绕轴做直线运动；当大圆盘转动时，由于惯性，皮带仍想保持原本的直线轨迹，但是因为受到旋转体系中科里奥利力的影响，皮带的运动轨迹就变成了一条曲线。当皮带绕轴转动的方向和大圆盘转动的方向相同时，皮带向外凸出；方向相反时，皮带向内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汽车离合器</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品中的拨杆代表手动挡汽车里的路板。当按下离合器踏板时，膜片弹簧收累，压盘和摩擦盖远离飞轮，压盘在弹露的作用下，与飞轮产生间隙，离合器处于分离状态。当松开离合器踏板时，膜片弹簧伸长，压盘向前移动，推动摩擦盖压紧飞轮表面，共同运动，离合器处于接合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汽车车窗</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当按下按钮后，电机开始工作，通过圆柱齿轮使主臂旋转，并通过连接轴带动副臂上端沿着副导轨做直线运动。此时，主臂和副臂的下端与上端运动方向相反，沿着主导轨做直线运动，从而使主导轨上的玻璃上下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魔箱</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当箱内飞轮快速转动时，它就是一个陀螺。陀螺高速旋转时，旋转轴总是努力地保持着方向不变，这就是陀螺的定轴性；如果陀螺正在旋转，施加一个力，推动它的自转轴，陀螺不会向你推的方向倒，反而会沿着与推力垂直的方向移动，这就是陀螺的进动性。所以当你顺时针或逆时针转动箱子时，箱子自己起来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rPr>
                <w:rFonts w:ascii="仿宋" w:hAnsi="仿宋" w:eastAsia="仿宋" w:cs="仿宋"/>
                <w:color w:val="000000"/>
                <w:sz w:val="24"/>
              </w:rPr>
            </w:pPr>
            <w:r>
              <w:rPr>
                <w:rFonts w:hint="eastAsia" w:ascii="仿宋" w:hAnsi="仿宋" w:eastAsia="仿宋" w:cs="仿宋"/>
                <w:color w:val="000000"/>
                <w:sz w:val="24"/>
              </w:rPr>
              <w:t>电磁加速器</w:t>
            </w:r>
          </w:p>
          <w:p>
            <w:pPr>
              <w:jc w:val="center"/>
              <w:rPr>
                <w:rFonts w:ascii="仿宋" w:hAnsi="仿宋" w:eastAsia="仿宋" w:cs="仿宋"/>
                <w:color w:val="000000"/>
                <w:sz w:val="24"/>
              </w:rPr>
            </w:pP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在环形闭合导轨上，每个线圈旁都装有传感器。当金属小球接近线圈，传感器检测到金属球，线圈立刻通电产生磁场，金属球在磁场作用下获得动力进行加速运动。金属球每通过线圈一次，在磁场力的作用下被加速一次，随着金属球不断通过线圈，速度也就越来越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6" w:type="dxa"/>
            <w:vAlign w:val="center"/>
          </w:tcPr>
          <w:p>
            <w:pPr>
              <w:numPr>
                <w:ilvl w:val="0"/>
                <w:numId w:val="15"/>
              </w:numPr>
              <w:jc w:val="center"/>
              <w:rPr>
                <w:rFonts w:ascii="仿宋" w:hAnsi="仿宋" w:eastAsia="仿宋" w:cs="仿宋"/>
                <w:color w:val="000000"/>
                <w:sz w:val="24"/>
              </w:rPr>
            </w:pPr>
          </w:p>
        </w:tc>
        <w:tc>
          <w:tcPr>
            <w:tcW w:w="1453"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飞鸟入笼</w:t>
            </w:r>
          </w:p>
        </w:tc>
        <w:tc>
          <w:tcPr>
            <w:tcW w:w="6713" w:type="dxa"/>
            <w:vAlign w:val="center"/>
          </w:tcPr>
          <w:p>
            <w:pPr>
              <w:rPr>
                <w:rFonts w:ascii="仿宋" w:hAnsi="仿宋" w:eastAsia="仿宋" w:cs="仿宋"/>
                <w:color w:val="000000"/>
                <w:sz w:val="24"/>
              </w:rPr>
            </w:pPr>
            <w:r>
              <w:rPr>
                <w:rFonts w:hint="eastAsia" w:ascii="仿宋" w:hAnsi="仿宋" w:eastAsia="仿宋" w:cs="仿宋"/>
                <w:color w:val="000000"/>
                <w:sz w:val="24"/>
              </w:rPr>
              <w:t>展品将小鸟飞翔的连续动作分解成一幅幅动作连贯的静止画面，随着“鸟笼”快速旋转，大脑中暂留的影像会填补鸟笼栅栏所带来的视觉空白，于是人眼便会看到小鸟飞入笼中。这也是电影的原理所在，任何一段影像资料都是由许许多多幅连贯的画面组成的。不过因为画与画之间的时间间隙很短，让我们很难察觉。</w:t>
            </w:r>
          </w:p>
        </w:tc>
      </w:tr>
    </w:tbl>
    <w:p>
      <w:pPr>
        <w:rPr>
          <w:bCs/>
          <w:color w:val="000000"/>
          <w:sz w:val="36"/>
          <w:szCs w:val="22"/>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pStyle w:val="2"/>
        <w:rPr>
          <w:sz w:val="30"/>
          <w:szCs w:val="30"/>
        </w:rPr>
      </w:pPr>
    </w:p>
    <w:p>
      <w:pPr>
        <w:pStyle w:val="3"/>
      </w:pPr>
    </w:p>
    <w:p>
      <w:pPr>
        <w:rPr>
          <w:sz w:val="30"/>
          <w:szCs w:val="30"/>
        </w:rPr>
      </w:pPr>
    </w:p>
    <w:p>
      <w:pPr>
        <w:rPr>
          <w:sz w:val="30"/>
          <w:szCs w:val="30"/>
        </w:rPr>
      </w:pPr>
    </w:p>
    <w:p>
      <w:pPr>
        <w:rPr>
          <w:sz w:val="30"/>
          <w:szCs w:val="30"/>
        </w:rPr>
      </w:pPr>
    </w:p>
    <w:p>
      <w:pPr>
        <w:rPr>
          <w:sz w:val="30"/>
          <w:szCs w:val="30"/>
        </w:rPr>
      </w:pPr>
    </w:p>
    <w:p>
      <w:pPr>
        <w:pStyle w:val="2"/>
      </w:pPr>
    </w:p>
    <w:p>
      <w:pPr>
        <w:rPr>
          <w:bCs/>
          <w:color w:val="000000"/>
          <w:sz w:val="32"/>
          <w:szCs w:val="21"/>
        </w:rPr>
      </w:pPr>
    </w:p>
    <w:p>
      <w:pPr>
        <w:rPr>
          <w:bCs/>
          <w:color w:val="000000"/>
          <w:sz w:val="32"/>
          <w:szCs w:val="21"/>
        </w:rPr>
      </w:pPr>
      <w:r>
        <w:rPr>
          <w:rFonts w:hint="eastAsia"/>
          <w:bCs/>
          <w:color w:val="000000"/>
          <w:sz w:val="32"/>
          <w:szCs w:val="21"/>
        </w:rPr>
        <w:t>附件3：深圳市科学馆流动科技馆展品采购评分表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276"/>
        <w:gridCol w:w="709"/>
        <w:gridCol w:w="1134"/>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3766" w:type="dxa"/>
            <w:gridSpan w:val="4"/>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评分项</w:t>
            </w:r>
          </w:p>
        </w:tc>
        <w:tc>
          <w:tcPr>
            <w:tcW w:w="4700"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766" w:type="dxa"/>
            <w:gridSpan w:val="4"/>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价格</w:t>
            </w:r>
          </w:p>
        </w:tc>
        <w:tc>
          <w:tcPr>
            <w:tcW w:w="4700"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766" w:type="dxa"/>
            <w:gridSpan w:val="4"/>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技术部分</w:t>
            </w:r>
          </w:p>
        </w:tc>
        <w:tc>
          <w:tcPr>
            <w:tcW w:w="4700"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47"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276"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评分因素</w:t>
            </w:r>
          </w:p>
        </w:tc>
        <w:tc>
          <w:tcPr>
            <w:tcW w:w="709"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权重</w:t>
            </w:r>
          </w:p>
        </w:tc>
        <w:tc>
          <w:tcPr>
            <w:tcW w:w="1134"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评分方式</w:t>
            </w:r>
          </w:p>
        </w:tc>
        <w:tc>
          <w:tcPr>
            <w:tcW w:w="4700"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47" w:type="dxa"/>
            <w:vAlign w:val="center"/>
          </w:tcPr>
          <w:p>
            <w:pPr>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1</w:t>
            </w:r>
          </w:p>
        </w:tc>
        <w:tc>
          <w:tcPr>
            <w:tcW w:w="1276" w:type="dxa"/>
            <w:vAlign w:val="center"/>
          </w:tcPr>
          <w:p>
            <w:pPr>
              <w:rPr>
                <w:rFonts w:ascii="仿宋" w:hAnsi="仿宋" w:eastAsia="仿宋" w:cs="仿宋"/>
                <w:sz w:val="28"/>
                <w:szCs w:val="28"/>
              </w:rPr>
            </w:pPr>
            <w:r>
              <w:rPr>
                <w:rFonts w:hint="eastAsia" w:ascii="仿宋" w:hAnsi="仿宋" w:eastAsia="仿宋" w:cs="仿宋"/>
                <w:sz w:val="28"/>
                <w:szCs w:val="28"/>
              </w:rPr>
              <w:t>指定深化设计展品（磁悬浮列车原理、电磁加速器、汽车离合器、机械幻影）</w:t>
            </w:r>
          </w:p>
        </w:tc>
        <w:tc>
          <w:tcPr>
            <w:tcW w:w="709"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15</w:t>
            </w:r>
          </w:p>
        </w:tc>
        <w:tc>
          <w:tcPr>
            <w:tcW w:w="1134"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评委打分</w:t>
            </w:r>
          </w:p>
        </w:tc>
        <w:tc>
          <w:tcPr>
            <w:tcW w:w="4700" w:type="dxa"/>
            <w:vAlign w:val="center"/>
          </w:tcPr>
          <w:p>
            <w:pPr>
              <w:pStyle w:val="19"/>
              <w:spacing w:before="1" w:line="364" w:lineRule="auto"/>
              <w:ind w:left="106" w:right="93"/>
              <w:jc w:val="both"/>
              <w:rPr>
                <w:rFonts w:ascii="仿宋" w:hAnsi="仿宋" w:eastAsia="仿宋" w:cs="仿宋"/>
                <w:sz w:val="28"/>
                <w:szCs w:val="28"/>
                <w:lang w:eastAsia="zh-CN"/>
              </w:rPr>
            </w:pPr>
            <w:r>
              <w:rPr>
                <w:rFonts w:hint="eastAsia" w:ascii="仿宋" w:hAnsi="仿宋" w:eastAsia="仿宋" w:cs="仿宋"/>
                <w:sz w:val="28"/>
                <w:szCs w:val="28"/>
                <w:lang w:eastAsia="zh-CN"/>
              </w:rPr>
              <w:t>符合深化设计要求，设计的图纸资料齐全、规范；关键技术的解决方案合理、表达的科学原理准确、材料及设备的选用、展品的展示效果符合招标文件要求进行综合评审：</w:t>
            </w:r>
          </w:p>
          <w:p>
            <w:pPr>
              <w:pStyle w:val="19"/>
              <w:spacing w:before="1" w:line="364" w:lineRule="auto"/>
              <w:ind w:right="93"/>
              <w:jc w:val="both"/>
              <w:rPr>
                <w:rFonts w:ascii="仿宋" w:hAnsi="仿宋" w:eastAsia="仿宋" w:cs="仿宋"/>
                <w:spacing w:val="-18"/>
                <w:sz w:val="28"/>
                <w:szCs w:val="28"/>
                <w:lang w:eastAsia="zh-CN"/>
              </w:rPr>
            </w:pPr>
            <w:r>
              <w:rPr>
                <w:rFonts w:hint="eastAsia" w:ascii="仿宋" w:hAnsi="仿宋" w:eastAsia="仿宋" w:cs="仿宋"/>
                <w:sz w:val="28"/>
                <w:szCs w:val="28"/>
                <w:lang w:eastAsia="zh-CN"/>
              </w:rPr>
              <w:t>（1）机械与结构设计：机械设计、安装方式等设计图的精细度高，设计完整性、科学性、合理性高。控制电路设计：电路控制设计、设备选型、管线工艺等设计图精细程度高，设计完整性、</w:t>
            </w:r>
            <w:r>
              <w:rPr>
                <w:rFonts w:hint="eastAsia" w:ascii="仿宋" w:hAnsi="仿宋" w:eastAsia="仿宋" w:cs="仿宋"/>
                <w:spacing w:val="-8"/>
                <w:sz w:val="28"/>
                <w:szCs w:val="28"/>
                <w:lang w:eastAsia="zh-CN"/>
              </w:rPr>
              <w:t xml:space="preserve">科学性、合理性程度优的得 </w:t>
            </w:r>
            <w:r>
              <w:rPr>
                <w:rFonts w:hint="eastAsia" w:ascii="仿宋" w:hAnsi="仿宋" w:eastAsia="仿宋" w:cs="仿宋"/>
                <w:sz w:val="28"/>
                <w:szCs w:val="28"/>
                <w:lang w:eastAsia="zh-CN"/>
              </w:rPr>
              <w:t>15</w:t>
            </w:r>
            <w:r>
              <w:rPr>
                <w:rFonts w:hint="eastAsia" w:ascii="仿宋" w:hAnsi="仿宋" w:eastAsia="仿宋" w:cs="仿宋"/>
                <w:spacing w:val="-18"/>
                <w:sz w:val="28"/>
                <w:szCs w:val="28"/>
                <w:lang w:eastAsia="zh-CN"/>
              </w:rPr>
              <w:t xml:space="preserve"> 分；</w:t>
            </w:r>
          </w:p>
          <w:p>
            <w:pPr>
              <w:pStyle w:val="19"/>
              <w:spacing w:before="1" w:line="364" w:lineRule="auto"/>
              <w:ind w:right="93"/>
              <w:jc w:val="both"/>
              <w:rPr>
                <w:rFonts w:ascii="仿宋" w:hAnsi="仿宋" w:eastAsia="仿宋" w:cs="仿宋"/>
                <w:spacing w:val="-18"/>
                <w:sz w:val="28"/>
                <w:szCs w:val="28"/>
                <w:lang w:eastAsia="zh-CN"/>
              </w:rPr>
            </w:pPr>
            <w:r>
              <w:rPr>
                <w:rFonts w:hint="eastAsia" w:ascii="仿宋" w:hAnsi="仿宋" w:eastAsia="仿宋" w:cs="仿宋"/>
                <w:sz w:val="28"/>
                <w:szCs w:val="28"/>
                <w:lang w:eastAsia="zh-CN"/>
              </w:rPr>
              <w:t>（2）机械与结构设计：机械设计、安装方式等设计图的精细度较高，设计完整性、科学性、合理性较高。控制电路设计：电路控制设计、设备选型、管线工艺等设计图精细程度较高，设计完整性、</w:t>
            </w:r>
            <w:r>
              <w:rPr>
                <w:rFonts w:hint="eastAsia" w:ascii="仿宋" w:hAnsi="仿宋" w:eastAsia="仿宋" w:cs="仿宋"/>
                <w:spacing w:val="-8"/>
                <w:sz w:val="28"/>
                <w:szCs w:val="28"/>
                <w:lang w:eastAsia="zh-CN"/>
              </w:rPr>
              <w:t xml:space="preserve">科学性、合理性程度良的得 </w:t>
            </w:r>
            <w:r>
              <w:rPr>
                <w:rFonts w:hint="eastAsia" w:ascii="仿宋" w:hAnsi="仿宋" w:eastAsia="仿宋" w:cs="仿宋"/>
                <w:sz w:val="28"/>
                <w:szCs w:val="28"/>
                <w:lang w:eastAsia="zh-CN"/>
              </w:rPr>
              <w:t>9</w:t>
            </w:r>
            <w:r>
              <w:rPr>
                <w:rFonts w:hint="eastAsia" w:ascii="仿宋" w:hAnsi="仿宋" w:eastAsia="仿宋" w:cs="仿宋"/>
                <w:spacing w:val="-18"/>
                <w:sz w:val="28"/>
                <w:szCs w:val="28"/>
                <w:lang w:eastAsia="zh-CN"/>
              </w:rPr>
              <w:t>分；</w:t>
            </w:r>
          </w:p>
          <w:p>
            <w:pPr>
              <w:pStyle w:val="19"/>
              <w:spacing w:before="1" w:line="364" w:lineRule="auto"/>
              <w:ind w:right="93"/>
              <w:jc w:val="both"/>
              <w:rPr>
                <w:rFonts w:ascii="仿宋" w:hAnsi="仿宋" w:eastAsia="仿宋" w:cs="仿宋"/>
                <w:spacing w:val="-18"/>
                <w:sz w:val="28"/>
                <w:szCs w:val="28"/>
                <w:lang w:eastAsia="zh-CN"/>
              </w:rPr>
            </w:pPr>
            <w:r>
              <w:rPr>
                <w:rFonts w:hint="eastAsia" w:ascii="仿宋" w:hAnsi="仿宋" w:eastAsia="仿宋" w:cs="仿宋"/>
                <w:sz w:val="28"/>
                <w:szCs w:val="28"/>
                <w:lang w:eastAsia="zh-CN"/>
              </w:rPr>
              <w:t>（3）机械与结构设计：机械设计、安装方式等设计图的精细度一般，设计完整性、科学性、合理性一般。控制电路设计：电路控制设计、设备选型、管线工艺等设计图精细程度一般，设计完整性、</w:t>
            </w:r>
            <w:r>
              <w:rPr>
                <w:rFonts w:hint="eastAsia" w:ascii="仿宋" w:hAnsi="仿宋" w:eastAsia="仿宋" w:cs="仿宋"/>
                <w:spacing w:val="-8"/>
                <w:sz w:val="28"/>
                <w:szCs w:val="28"/>
                <w:lang w:eastAsia="zh-CN"/>
              </w:rPr>
              <w:t xml:space="preserve">科学性、合理性程度一般的得 </w:t>
            </w:r>
            <w:r>
              <w:rPr>
                <w:rFonts w:hint="eastAsia" w:ascii="仿宋" w:hAnsi="仿宋" w:eastAsia="仿宋" w:cs="仿宋"/>
                <w:sz w:val="28"/>
                <w:szCs w:val="28"/>
                <w:lang w:eastAsia="zh-CN"/>
              </w:rPr>
              <w:t>4</w:t>
            </w:r>
            <w:r>
              <w:rPr>
                <w:rFonts w:hint="eastAsia" w:ascii="仿宋" w:hAnsi="仿宋" w:eastAsia="仿宋" w:cs="仿宋"/>
                <w:spacing w:val="-18"/>
                <w:sz w:val="28"/>
                <w:szCs w:val="28"/>
                <w:lang w:eastAsia="zh-CN"/>
              </w:rPr>
              <w:t xml:space="preserve"> 分；</w:t>
            </w:r>
          </w:p>
          <w:p>
            <w:pPr>
              <w:pStyle w:val="19"/>
              <w:spacing w:before="1" w:line="364" w:lineRule="auto"/>
              <w:ind w:right="93"/>
              <w:jc w:val="both"/>
              <w:rPr>
                <w:rFonts w:ascii="仿宋" w:hAnsi="仿宋" w:eastAsia="仿宋" w:cs="仿宋"/>
                <w:spacing w:val="-18"/>
                <w:sz w:val="28"/>
                <w:szCs w:val="28"/>
                <w:lang w:eastAsia="zh-CN"/>
              </w:rPr>
            </w:pPr>
            <w:r>
              <w:rPr>
                <w:rFonts w:hint="eastAsia" w:ascii="仿宋" w:hAnsi="仿宋" w:eastAsia="仿宋" w:cs="仿宋"/>
                <w:sz w:val="28"/>
                <w:szCs w:val="28"/>
                <w:lang w:eastAsia="zh-CN"/>
              </w:rPr>
              <w:t>（4）机械与结构设计：机械设计、安装方式等设计图的精细度低，设计完整性、科学性、合理性低。控制电路设计：电路控制设计、设备选型、管线工艺等设计图精细程度低，设计完整性、</w:t>
            </w:r>
            <w:r>
              <w:rPr>
                <w:rFonts w:hint="eastAsia" w:ascii="仿宋" w:hAnsi="仿宋" w:eastAsia="仿宋" w:cs="仿宋"/>
                <w:spacing w:val="-8"/>
                <w:sz w:val="28"/>
                <w:szCs w:val="28"/>
                <w:lang w:eastAsia="zh-CN"/>
              </w:rPr>
              <w:t>科学性、合理性程度较差的得</w:t>
            </w:r>
            <w:r>
              <w:rPr>
                <w:rFonts w:hint="eastAsia" w:ascii="仿宋" w:hAnsi="仿宋" w:eastAsia="仿宋" w:cs="仿宋"/>
                <w:sz w:val="28"/>
                <w:szCs w:val="28"/>
                <w:lang w:eastAsia="zh-CN"/>
              </w:rPr>
              <w:t>1</w:t>
            </w:r>
            <w:r>
              <w:rPr>
                <w:rFonts w:hint="eastAsia" w:ascii="仿宋" w:hAnsi="仿宋" w:eastAsia="仿宋" w:cs="仿宋"/>
                <w:spacing w:val="-18"/>
                <w:sz w:val="28"/>
                <w:szCs w:val="28"/>
                <w:lang w:eastAsia="zh-CN"/>
              </w:rPr>
              <w:t xml:space="preserve"> 分；</w:t>
            </w:r>
          </w:p>
          <w:p>
            <w:pPr>
              <w:spacing w:line="360" w:lineRule="exact"/>
              <w:rPr>
                <w:rFonts w:ascii="仿宋" w:hAnsi="仿宋" w:eastAsia="仿宋" w:cs="仿宋"/>
                <w:sz w:val="28"/>
                <w:szCs w:val="28"/>
              </w:rPr>
            </w:pPr>
            <w:r>
              <w:rPr>
                <w:rFonts w:hint="eastAsia" w:ascii="仿宋" w:hAnsi="仿宋" w:eastAsia="仿宋" w:cs="仿宋"/>
                <w:sz w:val="28"/>
                <w:szCs w:val="28"/>
              </w:rPr>
              <w:t>（5）未提供对应方案的不得分。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7" w:type="dxa"/>
            <w:vAlign w:val="center"/>
          </w:tcPr>
          <w:p>
            <w:pPr>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2</w:t>
            </w:r>
          </w:p>
        </w:tc>
        <w:tc>
          <w:tcPr>
            <w:tcW w:w="1276"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项目实施方案</w:t>
            </w:r>
          </w:p>
        </w:tc>
        <w:tc>
          <w:tcPr>
            <w:tcW w:w="709" w:type="dxa"/>
            <w:vAlign w:val="center"/>
          </w:tcPr>
          <w:p>
            <w:pPr>
              <w:adjustRightInd w:val="0"/>
              <w:snapToGrid w:val="0"/>
              <w:spacing w:line="360" w:lineRule="exact"/>
              <w:jc w:val="center"/>
              <w:rPr>
                <w:rFonts w:ascii="仿宋" w:hAnsi="仿宋" w:eastAsia="仿宋" w:cs="仿宋"/>
                <w:sz w:val="28"/>
                <w:szCs w:val="28"/>
              </w:rPr>
            </w:pPr>
            <w:r>
              <w:rPr>
                <w:rStyle w:val="18"/>
                <w:rFonts w:hint="eastAsia" w:ascii="仿宋" w:hAnsi="仿宋" w:eastAsia="仿宋" w:cs="仿宋"/>
                <w:bCs/>
                <w:sz w:val="28"/>
                <w:szCs w:val="28"/>
              </w:rPr>
              <w:t>10</w:t>
            </w:r>
          </w:p>
        </w:tc>
        <w:tc>
          <w:tcPr>
            <w:tcW w:w="1134"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评委打分</w:t>
            </w:r>
          </w:p>
        </w:tc>
        <w:tc>
          <w:tcPr>
            <w:tcW w:w="4700" w:type="dxa"/>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根据投标人的项目实施方案（包括但不限于：进度安排方案、项目服务方案、质量保障方案等）进行综合评审：</w:t>
            </w:r>
          </w:p>
          <w:p>
            <w:pPr>
              <w:adjustRightInd w:val="0"/>
              <w:snapToGrid w:val="0"/>
              <w:spacing w:line="400" w:lineRule="exact"/>
              <w:rPr>
                <w:rFonts w:ascii="仿宋" w:hAnsi="仿宋" w:eastAsia="仿宋" w:cs="仿宋"/>
                <w:sz w:val="28"/>
                <w:szCs w:val="28"/>
              </w:rPr>
            </w:pPr>
            <w:r>
              <w:rPr>
                <w:rFonts w:hint="eastAsia" w:ascii="仿宋" w:hAnsi="仿宋" w:eastAsia="仿宋" w:cs="仿宋"/>
                <w:sz w:val="28"/>
                <w:szCs w:val="28"/>
              </w:rPr>
              <w:t>（1）项目实施方案非常详细完整、科学合理的，得10分；</w:t>
            </w:r>
          </w:p>
          <w:p>
            <w:pPr>
              <w:adjustRightInd w:val="0"/>
              <w:snapToGrid w:val="0"/>
              <w:spacing w:line="400" w:lineRule="exact"/>
              <w:rPr>
                <w:rFonts w:ascii="仿宋" w:hAnsi="仿宋" w:eastAsia="仿宋" w:cs="仿宋"/>
                <w:sz w:val="28"/>
                <w:szCs w:val="28"/>
              </w:rPr>
            </w:pPr>
            <w:r>
              <w:rPr>
                <w:rFonts w:hint="eastAsia" w:ascii="仿宋" w:hAnsi="仿宋" w:eastAsia="仿宋" w:cs="仿宋"/>
                <w:sz w:val="28"/>
                <w:szCs w:val="28"/>
              </w:rPr>
              <w:t>（2）项目实施方案比较完整、合理的，得6分；</w:t>
            </w:r>
          </w:p>
          <w:p>
            <w:pPr>
              <w:adjustRightInd w:val="0"/>
              <w:snapToGrid w:val="0"/>
              <w:spacing w:line="400" w:lineRule="exact"/>
              <w:rPr>
                <w:rFonts w:ascii="仿宋" w:hAnsi="仿宋" w:eastAsia="仿宋" w:cs="仿宋"/>
                <w:sz w:val="28"/>
                <w:szCs w:val="28"/>
              </w:rPr>
            </w:pPr>
            <w:r>
              <w:rPr>
                <w:rFonts w:hint="eastAsia" w:ascii="仿宋" w:hAnsi="仿宋" w:eastAsia="仿宋" w:cs="仿宋"/>
                <w:sz w:val="28"/>
                <w:szCs w:val="28"/>
              </w:rPr>
              <w:t>（3）项目实施方案完整、科学性一般的，得4分；</w:t>
            </w:r>
          </w:p>
          <w:p>
            <w:pPr>
              <w:adjustRightInd w:val="0"/>
              <w:snapToGrid w:val="0"/>
              <w:spacing w:line="400" w:lineRule="exact"/>
              <w:rPr>
                <w:rFonts w:ascii="仿宋" w:hAnsi="仿宋" w:eastAsia="仿宋" w:cs="仿宋"/>
                <w:sz w:val="28"/>
                <w:szCs w:val="28"/>
              </w:rPr>
            </w:pPr>
            <w:r>
              <w:rPr>
                <w:rFonts w:hint="eastAsia" w:ascii="仿宋" w:hAnsi="仿宋" w:eastAsia="仿宋" w:cs="仿宋"/>
                <w:sz w:val="28"/>
                <w:szCs w:val="28"/>
              </w:rPr>
              <w:t>（4）项目实施方案完整、科学性较差的，得2分；</w:t>
            </w:r>
          </w:p>
          <w:p>
            <w:pPr>
              <w:spacing w:line="360" w:lineRule="exact"/>
              <w:rPr>
                <w:rFonts w:ascii="仿宋" w:hAnsi="仿宋" w:eastAsia="仿宋" w:cs="仿宋"/>
                <w:sz w:val="28"/>
                <w:szCs w:val="28"/>
              </w:rPr>
            </w:pPr>
            <w:r>
              <w:rPr>
                <w:rFonts w:hint="eastAsia" w:ascii="仿宋" w:hAnsi="仿宋" w:eastAsia="仿宋" w:cs="仿宋"/>
                <w:sz w:val="28"/>
                <w:szCs w:val="28"/>
              </w:rPr>
              <w:t>（5）未提供对应方案的不得分。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7" w:type="dxa"/>
            <w:vAlign w:val="center"/>
          </w:tcPr>
          <w:p>
            <w:pPr>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3</w:t>
            </w:r>
          </w:p>
        </w:tc>
        <w:tc>
          <w:tcPr>
            <w:tcW w:w="1276"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展品制作方案</w:t>
            </w:r>
          </w:p>
        </w:tc>
        <w:tc>
          <w:tcPr>
            <w:tcW w:w="709" w:type="dxa"/>
            <w:vAlign w:val="center"/>
          </w:tcPr>
          <w:p>
            <w:pPr>
              <w:adjustRightInd w:val="0"/>
              <w:snapToGrid w:val="0"/>
              <w:spacing w:line="360" w:lineRule="exact"/>
              <w:jc w:val="center"/>
              <w:rPr>
                <w:rStyle w:val="18"/>
                <w:rFonts w:ascii="仿宋" w:hAnsi="仿宋" w:eastAsia="仿宋" w:cs="仿宋"/>
                <w:bCs/>
                <w:sz w:val="28"/>
                <w:szCs w:val="28"/>
              </w:rPr>
            </w:pPr>
            <w:r>
              <w:rPr>
                <w:rStyle w:val="18"/>
                <w:rFonts w:hint="eastAsia" w:ascii="仿宋" w:hAnsi="仿宋" w:eastAsia="仿宋" w:cs="仿宋"/>
                <w:bCs/>
                <w:sz w:val="28"/>
                <w:szCs w:val="28"/>
              </w:rPr>
              <w:t>12</w:t>
            </w:r>
          </w:p>
        </w:tc>
        <w:tc>
          <w:tcPr>
            <w:tcW w:w="1134"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评委打分</w:t>
            </w:r>
          </w:p>
        </w:tc>
        <w:tc>
          <w:tcPr>
            <w:tcW w:w="4700" w:type="dxa"/>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根据投标人提供的展品制作方案（包括但不限于：展品制作流程、关键节点的控制、安装调试验收、保护和保管等）进行综合评审：</w:t>
            </w:r>
          </w:p>
          <w:p>
            <w:pPr>
              <w:spacing w:line="360" w:lineRule="exact"/>
              <w:jc w:val="left"/>
              <w:rPr>
                <w:rFonts w:ascii="仿宋" w:hAnsi="仿宋" w:eastAsia="仿宋" w:cs="仿宋"/>
                <w:sz w:val="28"/>
                <w:szCs w:val="28"/>
              </w:rPr>
            </w:pPr>
            <w:r>
              <w:rPr>
                <w:rFonts w:hint="eastAsia" w:ascii="仿宋" w:hAnsi="仿宋" w:eastAsia="仿宋" w:cs="仿宋"/>
                <w:sz w:val="28"/>
                <w:szCs w:val="28"/>
              </w:rPr>
              <w:t>（1）展品制作方案非常详细完整、科学合理的，得12分；</w:t>
            </w:r>
          </w:p>
          <w:p>
            <w:pPr>
              <w:spacing w:line="360" w:lineRule="exact"/>
              <w:jc w:val="left"/>
              <w:rPr>
                <w:rFonts w:ascii="仿宋" w:hAnsi="仿宋" w:eastAsia="仿宋" w:cs="仿宋"/>
                <w:sz w:val="28"/>
                <w:szCs w:val="28"/>
              </w:rPr>
            </w:pPr>
            <w:r>
              <w:rPr>
                <w:rFonts w:hint="eastAsia" w:ascii="仿宋" w:hAnsi="仿宋" w:eastAsia="仿宋" w:cs="仿宋"/>
                <w:sz w:val="28"/>
                <w:szCs w:val="28"/>
              </w:rPr>
              <w:t>（2）展品制作方案比较完整、合理的，得8分；</w:t>
            </w:r>
          </w:p>
          <w:p>
            <w:pPr>
              <w:spacing w:line="360" w:lineRule="exact"/>
              <w:jc w:val="left"/>
              <w:rPr>
                <w:rFonts w:ascii="仿宋" w:hAnsi="仿宋" w:eastAsia="仿宋" w:cs="仿宋"/>
                <w:sz w:val="28"/>
                <w:szCs w:val="28"/>
              </w:rPr>
            </w:pPr>
            <w:r>
              <w:rPr>
                <w:rFonts w:hint="eastAsia" w:ascii="仿宋" w:hAnsi="仿宋" w:eastAsia="仿宋" w:cs="仿宋"/>
                <w:sz w:val="28"/>
                <w:szCs w:val="28"/>
              </w:rPr>
              <w:t>（3）展品制作方案完整、科学性一般的，得4分；</w:t>
            </w:r>
          </w:p>
          <w:p>
            <w:pPr>
              <w:spacing w:line="360" w:lineRule="exact"/>
              <w:jc w:val="left"/>
              <w:rPr>
                <w:rFonts w:ascii="仿宋" w:hAnsi="仿宋" w:eastAsia="仿宋" w:cs="仿宋"/>
                <w:sz w:val="28"/>
                <w:szCs w:val="28"/>
              </w:rPr>
            </w:pPr>
            <w:r>
              <w:rPr>
                <w:rFonts w:hint="eastAsia" w:ascii="仿宋" w:hAnsi="仿宋" w:eastAsia="仿宋" w:cs="仿宋"/>
                <w:sz w:val="28"/>
                <w:szCs w:val="28"/>
              </w:rPr>
              <w:t>（4）展品制作方案完整、科学性较差的，得1分；</w:t>
            </w:r>
          </w:p>
          <w:p>
            <w:pPr>
              <w:spacing w:line="360" w:lineRule="exact"/>
              <w:rPr>
                <w:rFonts w:ascii="仿宋" w:hAnsi="仿宋" w:eastAsia="仿宋" w:cs="仿宋"/>
                <w:sz w:val="28"/>
                <w:szCs w:val="28"/>
              </w:rPr>
            </w:pPr>
            <w:r>
              <w:rPr>
                <w:rFonts w:hint="eastAsia" w:ascii="仿宋" w:hAnsi="仿宋" w:eastAsia="仿宋" w:cs="仿宋"/>
                <w:sz w:val="28"/>
                <w:szCs w:val="28"/>
              </w:rPr>
              <w:t>（5）未提供对应方案的不得分。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7" w:type="dxa"/>
            <w:vAlign w:val="center"/>
          </w:tcPr>
          <w:p>
            <w:pPr>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4</w:t>
            </w:r>
          </w:p>
        </w:tc>
        <w:tc>
          <w:tcPr>
            <w:tcW w:w="1276"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主要配件品牌、材质、用料环保</w:t>
            </w:r>
          </w:p>
        </w:tc>
        <w:tc>
          <w:tcPr>
            <w:tcW w:w="709" w:type="dxa"/>
            <w:vAlign w:val="center"/>
          </w:tcPr>
          <w:p>
            <w:pPr>
              <w:widowControl/>
              <w:tabs>
                <w:tab w:val="left" w:pos="1988"/>
              </w:tabs>
              <w:spacing w:line="360" w:lineRule="exact"/>
              <w:jc w:val="center"/>
              <w:rPr>
                <w:rFonts w:ascii="仿宋" w:hAnsi="仿宋" w:eastAsia="仿宋" w:cs="仿宋"/>
                <w:sz w:val="28"/>
                <w:szCs w:val="28"/>
              </w:rPr>
            </w:pPr>
            <w:r>
              <w:rPr>
                <w:rFonts w:hint="eastAsia" w:ascii="仿宋" w:hAnsi="仿宋" w:eastAsia="仿宋" w:cs="仿宋"/>
                <w:bCs/>
                <w:color w:val="000000"/>
                <w:sz w:val="28"/>
                <w:szCs w:val="28"/>
              </w:rPr>
              <w:t>10</w:t>
            </w:r>
          </w:p>
        </w:tc>
        <w:tc>
          <w:tcPr>
            <w:tcW w:w="1134"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评委打分</w:t>
            </w:r>
          </w:p>
        </w:tc>
        <w:tc>
          <w:tcPr>
            <w:tcW w:w="4700" w:type="dxa"/>
          </w:tcPr>
          <w:p>
            <w:pPr>
              <w:spacing w:line="360" w:lineRule="exact"/>
              <w:rPr>
                <w:rFonts w:ascii="仿宋" w:hAnsi="仿宋" w:eastAsia="仿宋" w:cs="仿宋"/>
                <w:sz w:val="28"/>
                <w:szCs w:val="28"/>
              </w:rPr>
            </w:pPr>
            <w:r>
              <w:rPr>
                <w:rFonts w:hint="eastAsia" w:ascii="仿宋" w:hAnsi="仿宋" w:eastAsia="仿宋" w:cs="仿宋"/>
                <w:kern w:val="0"/>
                <w:sz w:val="28"/>
                <w:szCs w:val="28"/>
              </w:rPr>
              <w:t>投标人应如实在招标文件里列出展品主要配件材质、品牌、性能、是否环保材料等信息。评审委员会横向比较，分档评分：优得10分，良得7分，中得5分，差得3分以下。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7" w:type="dxa"/>
            <w:vAlign w:val="center"/>
          </w:tcPr>
          <w:p>
            <w:pPr>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5</w:t>
            </w:r>
          </w:p>
        </w:tc>
        <w:tc>
          <w:tcPr>
            <w:tcW w:w="1276"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售后服务方案</w:t>
            </w:r>
          </w:p>
        </w:tc>
        <w:tc>
          <w:tcPr>
            <w:tcW w:w="709" w:type="dxa"/>
            <w:vAlign w:val="center"/>
          </w:tcPr>
          <w:p>
            <w:pPr>
              <w:widowControl/>
              <w:tabs>
                <w:tab w:val="left" w:pos="1988"/>
              </w:tabs>
              <w:spacing w:line="360" w:lineRule="exact"/>
              <w:jc w:val="center"/>
              <w:rPr>
                <w:rFonts w:ascii="仿宋" w:hAnsi="仿宋" w:eastAsia="仿宋" w:cs="仿宋"/>
                <w:sz w:val="28"/>
                <w:szCs w:val="28"/>
              </w:rPr>
            </w:pPr>
            <w:r>
              <w:rPr>
                <w:rFonts w:hint="eastAsia" w:ascii="仿宋" w:hAnsi="仿宋" w:eastAsia="仿宋" w:cs="仿宋"/>
                <w:bCs/>
                <w:color w:val="000000"/>
                <w:sz w:val="28"/>
                <w:szCs w:val="28"/>
              </w:rPr>
              <w:t>3</w:t>
            </w:r>
          </w:p>
        </w:tc>
        <w:tc>
          <w:tcPr>
            <w:tcW w:w="1134"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评委打分</w:t>
            </w:r>
          </w:p>
        </w:tc>
        <w:tc>
          <w:tcPr>
            <w:tcW w:w="4700" w:type="dxa"/>
          </w:tcPr>
          <w:p>
            <w:pPr>
              <w:spacing w:line="360" w:lineRule="exact"/>
              <w:jc w:val="left"/>
              <w:rPr>
                <w:rFonts w:ascii="仿宋" w:hAnsi="仿宋" w:eastAsia="仿宋" w:cs="仿宋"/>
                <w:sz w:val="28"/>
                <w:szCs w:val="28"/>
              </w:rPr>
            </w:pPr>
            <w:r>
              <w:rPr>
                <w:rFonts w:hint="eastAsia" w:ascii="仿宋" w:hAnsi="仿宋" w:eastAsia="仿宋" w:cs="仿宋"/>
                <w:sz w:val="28"/>
                <w:szCs w:val="28"/>
              </w:rPr>
              <w:t>根据投标人提供的售后服务方案（包括但不限于：售后服务效率、质保期满后的承诺、维修条款、应急措施、售后服务点情况等其它服务承诺等）进行综合评审：</w:t>
            </w:r>
          </w:p>
          <w:p>
            <w:pPr>
              <w:spacing w:line="360" w:lineRule="exact"/>
              <w:jc w:val="left"/>
              <w:rPr>
                <w:rFonts w:ascii="仿宋" w:hAnsi="仿宋" w:eastAsia="仿宋" w:cs="仿宋"/>
                <w:sz w:val="28"/>
                <w:szCs w:val="28"/>
              </w:rPr>
            </w:pPr>
            <w:r>
              <w:rPr>
                <w:rFonts w:hint="eastAsia" w:ascii="仿宋" w:hAnsi="仿宋" w:eastAsia="仿宋" w:cs="仿宋"/>
                <w:sz w:val="28"/>
                <w:szCs w:val="28"/>
              </w:rPr>
              <w:t>（1）售后服务方案非常详细完整、科学合理的，得3分；</w:t>
            </w:r>
          </w:p>
          <w:p>
            <w:pPr>
              <w:spacing w:line="360" w:lineRule="exact"/>
              <w:jc w:val="left"/>
              <w:rPr>
                <w:rFonts w:ascii="仿宋" w:hAnsi="仿宋" w:eastAsia="仿宋" w:cs="仿宋"/>
                <w:sz w:val="28"/>
                <w:szCs w:val="28"/>
              </w:rPr>
            </w:pPr>
            <w:r>
              <w:rPr>
                <w:rFonts w:hint="eastAsia" w:ascii="仿宋" w:hAnsi="仿宋" w:eastAsia="仿宋" w:cs="仿宋"/>
                <w:sz w:val="28"/>
                <w:szCs w:val="28"/>
              </w:rPr>
              <w:t>（2）售后服务方案比较完整、合理的，得2分；</w:t>
            </w:r>
          </w:p>
          <w:p>
            <w:pPr>
              <w:spacing w:line="360" w:lineRule="exact"/>
              <w:jc w:val="left"/>
              <w:rPr>
                <w:rFonts w:ascii="仿宋" w:hAnsi="仿宋" w:eastAsia="仿宋" w:cs="仿宋"/>
                <w:sz w:val="28"/>
                <w:szCs w:val="28"/>
              </w:rPr>
            </w:pPr>
            <w:r>
              <w:rPr>
                <w:rFonts w:hint="eastAsia" w:ascii="仿宋" w:hAnsi="仿宋" w:eastAsia="仿宋" w:cs="仿宋"/>
                <w:sz w:val="28"/>
                <w:szCs w:val="28"/>
              </w:rPr>
              <w:t>（3）售后服务方案完整、科学性一般的，得1分；</w:t>
            </w:r>
          </w:p>
          <w:p>
            <w:pPr>
              <w:spacing w:line="360" w:lineRule="exact"/>
              <w:rPr>
                <w:rFonts w:ascii="仿宋" w:hAnsi="仿宋" w:eastAsia="仿宋" w:cs="仿宋"/>
                <w:sz w:val="28"/>
                <w:szCs w:val="28"/>
              </w:rPr>
            </w:pPr>
            <w:r>
              <w:rPr>
                <w:rFonts w:hint="eastAsia" w:ascii="仿宋" w:hAnsi="仿宋" w:eastAsia="仿宋" w:cs="仿宋"/>
                <w:sz w:val="28"/>
                <w:szCs w:val="28"/>
              </w:rPr>
              <w:t>（4）未提供对应方案的不得分。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766" w:type="dxa"/>
            <w:gridSpan w:val="4"/>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商务部分</w:t>
            </w:r>
          </w:p>
        </w:tc>
        <w:tc>
          <w:tcPr>
            <w:tcW w:w="4700"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47"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276"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评分因素</w:t>
            </w:r>
          </w:p>
        </w:tc>
        <w:tc>
          <w:tcPr>
            <w:tcW w:w="709"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权重</w:t>
            </w:r>
          </w:p>
        </w:tc>
        <w:tc>
          <w:tcPr>
            <w:tcW w:w="1134"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评分方式</w:t>
            </w:r>
          </w:p>
        </w:tc>
        <w:tc>
          <w:tcPr>
            <w:tcW w:w="4700"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7" w:type="dxa"/>
            <w:vAlign w:val="center"/>
          </w:tcPr>
          <w:p>
            <w:pPr>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1</w:t>
            </w:r>
          </w:p>
        </w:tc>
        <w:tc>
          <w:tcPr>
            <w:tcW w:w="1276" w:type="dxa"/>
            <w:vAlign w:val="center"/>
          </w:tcPr>
          <w:p>
            <w:pPr>
              <w:spacing w:line="360" w:lineRule="exact"/>
              <w:jc w:val="center"/>
              <w:rPr>
                <w:rFonts w:ascii="仿宋" w:hAnsi="仿宋" w:eastAsia="仿宋" w:cs="仿宋"/>
                <w:sz w:val="28"/>
                <w:szCs w:val="28"/>
              </w:rPr>
            </w:pPr>
            <w:r>
              <w:rPr>
                <w:rFonts w:hint="eastAsia" w:ascii="仿宋" w:hAnsi="仿宋" w:eastAsia="仿宋" w:cs="仿宋"/>
                <w:sz w:val="28"/>
                <w:szCs w:val="28"/>
              </w:rPr>
              <w:t>业绩情况</w:t>
            </w:r>
          </w:p>
        </w:tc>
        <w:tc>
          <w:tcPr>
            <w:tcW w:w="709"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6</w:t>
            </w:r>
          </w:p>
        </w:tc>
        <w:tc>
          <w:tcPr>
            <w:tcW w:w="1134"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评委打分</w:t>
            </w:r>
          </w:p>
        </w:tc>
        <w:tc>
          <w:tcPr>
            <w:tcW w:w="4700" w:type="dxa"/>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投标人2019年1月1日至今签订的流动科技馆展品制作业绩：每具有一个国家级流动科技馆展品制作项目的业绩2分，本项满分6分。</w:t>
            </w:r>
          </w:p>
          <w:p>
            <w:pPr>
              <w:spacing w:line="360" w:lineRule="exact"/>
              <w:rPr>
                <w:rFonts w:ascii="仿宋" w:hAnsi="仿宋" w:eastAsia="仿宋" w:cs="仿宋"/>
                <w:sz w:val="28"/>
                <w:szCs w:val="28"/>
              </w:rPr>
            </w:pPr>
            <w:r>
              <w:rPr>
                <w:rFonts w:hint="eastAsia" w:ascii="仿宋" w:hAnsi="仿宋" w:eastAsia="仿宋" w:cs="仿宋"/>
                <w:sz w:val="28"/>
                <w:szCs w:val="28"/>
              </w:rPr>
              <w:t>注：提供中标通知书或合同关键页扫描件并加盖公章，原件备查，未提供或提供的不符合或提供不清晰导致无法判断的均不得分。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7" w:type="dxa"/>
            <w:vAlign w:val="center"/>
          </w:tcPr>
          <w:p>
            <w:pPr>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2</w:t>
            </w:r>
          </w:p>
        </w:tc>
        <w:tc>
          <w:tcPr>
            <w:tcW w:w="1276" w:type="dxa"/>
            <w:vAlign w:val="center"/>
          </w:tcPr>
          <w:p>
            <w:pPr>
              <w:spacing w:line="360" w:lineRule="exact"/>
              <w:jc w:val="center"/>
              <w:rPr>
                <w:rFonts w:ascii="仿宋" w:hAnsi="仿宋" w:eastAsia="仿宋" w:cs="仿宋"/>
                <w:kern w:val="0"/>
                <w:sz w:val="28"/>
                <w:szCs w:val="28"/>
              </w:rPr>
            </w:pPr>
            <w:r>
              <w:rPr>
                <w:rFonts w:hint="eastAsia" w:ascii="仿宋" w:hAnsi="仿宋" w:eastAsia="仿宋" w:cs="仿宋"/>
                <w:sz w:val="28"/>
                <w:szCs w:val="28"/>
              </w:rPr>
              <w:t>企业创新能力</w:t>
            </w:r>
          </w:p>
        </w:tc>
        <w:tc>
          <w:tcPr>
            <w:tcW w:w="709"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3</w:t>
            </w:r>
          </w:p>
        </w:tc>
        <w:tc>
          <w:tcPr>
            <w:tcW w:w="1134"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评委打分</w:t>
            </w:r>
          </w:p>
        </w:tc>
        <w:tc>
          <w:tcPr>
            <w:tcW w:w="4700" w:type="dxa"/>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投标人自2019年1月1日至今每获得一项发明专利授权得1分，本项满分3分。需提供发明专利的授权证书或其他授权证明文件(发明专利申请书或实用新型专利证书或外观专利证书除外)的复印件或扫描件并加投标人盖公章,原件备查。时间以取得证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7" w:type="dxa"/>
            <w:vAlign w:val="center"/>
          </w:tcPr>
          <w:p>
            <w:pPr>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3</w:t>
            </w:r>
          </w:p>
        </w:tc>
        <w:tc>
          <w:tcPr>
            <w:tcW w:w="1276" w:type="dxa"/>
            <w:vAlign w:val="center"/>
          </w:tcPr>
          <w:p>
            <w:pPr>
              <w:adjustRightInd w:val="0"/>
              <w:snapToGrid w:val="0"/>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企业认证</w:t>
            </w:r>
          </w:p>
        </w:tc>
        <w:tc>
          <w:tcPr>
            <w:tcW w:w="709"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3</w:t>
            </w:r>
          </w:p>
        </w:tc>
        <w:tc>
          <w:tcPr>
            <w:tcW w:w="1134"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评委打分</w:t>
            </w:r>
          </w:p>
        </w:tc>
        <w:tc>
          <w:tcPr>
            <w:tcW w:w="4700" w:type="dxa"/>
            <w:vAlign w:val="center"/>
          </w:tcPr>
          <w:p>
            <w:pPr>
              <w:spacing w:line="360" w:lineRule="exact"/>
              <w:jc w:val="left"/>
              <w:rPr>
                <w:rFonts w:ascii="仿宋" w:hAnsi="仿宋" w:eastAsia="仿宋" w:cs="仿宋"/>
                <w:sz w:val="28"/>
                <w:szCs w:val="28"/>
              </w:rPr>
            </w:pPr>
            <w:r>
              <w:rPr>
                <w:rFonts w:hint="eastAsia" w:ascii="仿宋" w:hAnsi="仿宋" w:eastAsia="仿宋" w:cs="仿宋"/>
                <w:sz w:val="28"/>
                <w:szCs w:val="28"/>
              </w:rPr>
              <w:t>投标人具有由国家认证认可监督管理部门批准设立的认证机构颁发并在有效期内的质量管理体系认证证书、环境管理体系认证证书、职业健康管理体系认证证书，三证齐全得1.5分，缺一项不得分。</w:t>
            </w:r>
            <w:r>
              <w:rPr>
                <w:rFonts w:hint="eastAsia" w:ascii="仿宋" w:hAnsi="仿宋" w:eastAsia="仿宋" w:cs="仿宋"/>
                <w:color w:val="000000"/>
                <w:sz w:val="28"/>
                <w:szCs w:val="28"/>
              </w:rPr>
              <w:t>具有省级及以上高新技术企业证书得1.5分；</w:t>
            </w:r>
          </w:p>
          <w:p>
            <w:pPr>
              <w:spacing w:line="360" w:lineRule="exact"/>
              <w:jc w:val="left"/>
              <w:rPr>
                <w:rFonts w:ascii="仿宋" w:hAnsi="仿宋" w:eastAsia="仿宋" w:cs="仿宋"/>
                <w:sz w:val="28"/>
                <w:szCs w:val="28"/>
              </w:rPr>
            </w:pPr>
            <w:r>
              <w:rPr>
                <w:rFonts w:hint="eastAsia" w:ascii="仿宋" w:hAnsi="仿宋" w:eastAsia="仿宋" w:cs="仿宋"/>
                <w:sz w:val="28"/>
                <w:szCs w:val="28"/>
              </w:rPr>
              <w:t>注：须提供证书复印件并加盖投标人公章。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7" w:type="dxa"/>
            <w:vAlign w:val="center"/>
          </w:tcPr>
          <w:p>
            <w:pPr>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4</w:t>
            </w:r>
          </w:p>
        </w:tc>
        <w:tc>
          <w:tcPr>
            <w:tcW w:w="1276" w:type="dxa"/>
            <w:vAlign w:val="center"/>
          </w:tcPr>
          <w:p>
            <w:pPr>
              <w:adjustRightInd w:val="0"/>
              <w:snapToGrid w:val="0"/>
              <w:spacing w:line="360" w:lineRule="exact"/>
              <w:jc w:val="center"/>
              <w:rPr>
                <w:rFonts w:ascii="仿宋" w:hAnsi="仿宋" w:eastAsia="仿宋" w:cs="仿宋"/>
                <w:kern w:val="0"/>
                <w:sz w:val="28"/>
                <w:szCs w:val="28"/>
              </w:rPr>
            </w:pPr>
            <w:r>
              <w:rPr>
                <w:rFonts w:hint="eastAsia" w:ascii="仿宋" w:hAnsi="仿宋" w:eastAsia="仿宋" w:cs="仿宋"/>
                <w:kern w:val="0"/>
                <w:sz w:val="28"/>
                <w:szCs w:val="28"/>
              </w:rPr>
              <w:t>企业荣誉</w:t>
            </w:r>
          </w:p>
        </w:tc>
        <w:tc>
          <w:tcPr>
            <w:tcW w:w="709"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3</w:t>
            </w:r>
          </w:p>
        </w:tc>
        <w:tc>
          <w:tcPr>
            <w:tcW w:w="1134"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评委打分</w:t>
            </w:r>
          </w:p>
        </w:tc>
        <w:tc>
          <w:tcPr>
            <w:tcW w:w="4700" w:type="dxa"/>
            <w:vAlign w:val="center"/>
          </w:tcPr>
          <w:p>
            <w:pPr>
              <w:snapToGrid w:val="0"/>
              <w:spacing w:line="300" w:lineRule="auto"/>
              <w:rPr>
                <w:rFonts w:ascii="仿宋" w:hAnsi="仿宋" w:eastAsia="仿宋" w:cs="仿宋"/>
                <w:sz w:val="28"/>
                <w:szCs w:val="28"/>
              </w:rPr>
            </w:pPr>
            <w:r>
              <w:rPr>
                <w:rFonts w:hint="eastAsia" w:ascii="仿宋" w:hAnsi="仿宋" w:eastAsia="仿宋" w:cs="仿宋"/>
                <w:color w:val="000000"/>
                <w:sz w:val="28"/>
                <w:szCs w:val="28"/>
              </w:rPr>
              <w:t>具有中国展览馆协会颁发的展览陈列工程设计与施工一体化资质得1.5分，否则0分；具有中国展览馆协会颁发的展览工程</w:t>
            </w:r>
            <w:r>
              <w:rPr>
                <w:rFonts w:hint="eastAsia" w:ascii="仿宋" w:hAnsi="仿宋" w:eastAsia="仿宋" w:cs="仿宋"/>
                <w:sz w:val="28"/>
                <w:szCs w:val="28"/>
              </w:rPr>
              <w:t>企业一级资质得1.5分，否则0分。</w:t>
            </w:r>
            <w:r>
              <w:rPr>
                <w:rFonts w:hint="eastAsia" w:ascii="仿宋" w:hAnsi="仿宋" w:eastAsia="仿宋" w:cs="仿宋"/>
                <w:color w:val="000000"/>
                <w:sz w:val="28"/>
                <w:szCs w:val="28"/>
              </w:rPr>
              <w:t>投标文件中提供有效证书复印件，否则不予计分。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7" w:type="dxa"/>
            <w:vAlign w:val="center"/>
          </w:tcPr>
          <w:p>
            <w:pPr>
              <w:spacing w:line="360" w:lineRule="exact"/>
              <w:jc w:val="center"/>
              <w:textAlignment w:val="center"/>
              <w:rPr>
                <w:rFonts w:ascii="仿宋" w:hAnsi="仿宋" w:eastAsia="仿宋" w:cs="仿宋"/>
                <w:sz w:val="28"/>
                <w:szCs w:val="28"/>
              </w:rPr>
            </w:pPr>
            <w:r>
              <w:rPr>
                <w:rFonts w:hint="eastAsia" w:ascii="仿宋" w:hAnsi="仿宋" w:eastAsia="仿宋" w:cs="仿宋"/>
                <w:sz w:val="28"/>
                <w:szCs w:val="28"/>
              </w:rPr>
              <w:t>5</w:t>
            </w:r>
          </w:p>
        </w:tc>
        <w:tc>
          <w:tcPr>
            <w:tcW w:w="1276" w:type="dxa"/>
            <w:vAlign w:val="center"/>
          </w:tcPr>
          <w:p>
            <w:pPr>
              <w:spacing w:line="360" w:lineRule="exact"/>
              <w:jc w:val="center"/>
              <w:rPr>
                <w:rFonts w:ascii="仿宋" w:hAnsi="仿宋" w:eastAsia="仿宋" w:cs="仿宋"/>
                <w:kern w:val="0"/>
                <w:sz w:val="28"/>
                <w:szCs w:val="28"/>
              </w:rPr>
            </w:pPr>
            <w:r>
              <w:rPr>
                <w:rFonts w:hint="eastAsia" w:ascii="仿宋" w:hAnsi="仿宋" w:eastAsia="仿宋" w:cs="仿宋"/>
                <w:color w:val="000000"/>
                <w:kern w:val="0"/>
                <w:sz w:val="28"/>
                <w:szCs w:val="28"/>
              </w:rPr>
              <w:t>企业诚信</w:t>
            </w:r>
          </w:p>
        </w:tc>
        <w:tc>
          <w:tcPr>
            <w:tcW w:w="709"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5</w:t>
            </w:r>
          </w:p>
        </w:tc>
        <w:tc>
          <w:tcPr>
            <w:tcW w:w="1134" w:type="dxa"/>
            <w:vAlign w:val="center"/>
          </w:tcPr>
          <w:p>
            <w:pPr>
              <w:snapToGrid w:val="0"/>
              <w:spacing w:line="360" w:lineRule="exact"/>
              <w:jc w:val="center"/>
              <w:rPr>
                <w:rFonts w:ascii="仿宋" w:hAnsi="仿宋" w:eastAsia="仿宋" w:cs="仿宋"/>
                <w:sz w:val="28"/>
                <w:szCs w:val="28"/>
              </w:rPr>
            </w:pPr>
            <w:r>
              <w:rPr>
                <w:rFonts w:hint="eastAsia" w:ascii="仿宋" w:hAnsi="仿宋" w:eastAsia="仿宋" w:cs="仿宋"/>
                <w:sz w:val="28"/>
                <w:szCs w:val="28"/>
              </w:rPr>
              <w:t>评委打分</w:t>
            </w:r>
          </w:p>
        </w:tc>
        <w:tc>
          <w:tcPr>
            <w:tcW w:w="4700" w:type="dxa"/>
          </w:tcPr>
          <w:p>
            <w:pPr>
              <w:spacing w:line="360" w:lineRule="exact"/>
              <w:jc w:val="left"/>
              <w:rPr>
                <w:rFonts w:ascii="仿宋" w:hAnsi="仿宋" w:eastAsia="仿宋" w:cs="仿宋"/>
                <w:sz w:val="28"/>
                <w:szCs w:val="28"/>
              </w:rPr>
            </w:pPr>
            <w:r>
              <w:rPr>
                <w:rFonts w:hint="eastAsia" w:ascii="仿宋" w:hAnsi="仿宋" w:eastAsia="仿宋" w:cs="仿宋"/>
                <w:sz w:val="28"/>
                <w:szCs w:val="28"/>
              </w:rPr>
              <w:t xml:space="preserve">依据相关规定：投标人因违法违规被记入诚信档案且在有效期内的，不得分；不存在此类情况的，或虽受过行政处罚但修正行政处罚期已满，得满分。 </w:t>
            </w:r>
          </w:p>
          <w:p>
            <w:pPr>
              <w:spacing w:line="360" w:lineRule="exact"/>
              <w:rPr>
                <w:rFonts w:ascii="仿宋" w:hAnsi="仿宋" w:eastAsia="仿宋" w:cs="仿宋"/>
                <w:sz w:val="28"/>
                <w:szCs w:val="28"/>
              </w:rPr>
            </w:pPr>
            <w:r>
              <w:rPr>
                <w:rFonts w:hint="eastAsia" w:ascii="仿宋" w:hAnsi="仿宋" w:eastAsia="仿宋" w:cs="仿宋"/>
                <w:sz w:val="28"/>
                <w:szCs w:val="28"/>
              </w:rPr>
              <w:t>注：以提供《承诺函》未按要求提供或提供不清晰的不得分。</w:t>
            </w:r>
          </w:p>
        </w:tc>
      </w:tr>
    </w:tbl>
    <w:p>
      <w:pPr>
        <w:numPr>
          <w:ilvl w:val="255"/>
          <w:numId w:val="0"/>
        </w:numPr>
        <w:jc w:val="left"/>
        <w:rPr>
          <w:rFonts w:ascii="仿宋" w:hAnsi="仿宋" w:eastAsia="仿宋" w:cs="仿宋"/>
          <w:sz w:val="28"/>
          <w:szCs w:val="28"/>
        </w:rPr>
      </w:pPr>
      <w:r>
        <w:rPr>
          <w:rFonts w:hint="eastAsia" w:ascii="仿宋" w:hAnsi="仿宋" w:eastAsia="仿宋" w:cs="仿宋"/>
          <w:sz w:val="28"/>
          <w:szCs w:val="28"/>
        </w:rPr>
        <w:t>备 注：</w:t>
      </w:r>
    </w:p>
    <w:p>
      <w:pPr>
        <w:numPr>
          <w:ilvl w:val="0"/>
          <w:numId w:val="16"/>
        </w:numPr>
        <w:jc w:val="left"/>
        <w:rPr>
          <w:rFonts w:ascii="仿宋" w:hAnsi="仿宋" w:eastAsia="仿宋" w:cs="仿宋"/>
          <w:sz w:val="28"/>
          <w:szCs w:val="28"/>
        </w:rPr>
      </w:pPr>
      <w:r>
        <w:rPr>
          <w:rFonts w:hint="eastAsia" w:ascii="仿宋" w:hAnsi="仿宋" w:eastAsia="仿宋" w:cs="仿宋"/>
          <w:sz w:val="28"/>
          <w:szCs w:val="28"/>
        </w:rPr>
        <w:t>价格、技术、商务部分累加分为100分，各投标人得分精确到小数点后两位。</w:t>
      </w:r>
    </w:p>
    <w:p>
      <w:pPr>
        <w:numPr>
          <w:ilvl w:val="0"/>
          <w:numId w:val="16"/>
        </w:numPr>
        <w:jc w:val="left"/>
        <w:rPr>
          <w:rFonts w:ascii="仿宋" w:hAnsi="仿宋" w:eastAsia="仿宋" w:cs="仿宋"/>
          <w:sz w:val="28"/>
          <w:szCs w:val="28"/>
        </w:rPr>
      </w:pPr>
      <w:r>
        <w:rPr>
          <w:rFonts w:hint="eastAsia" w:ascii="仿宋" w:hAnsi="仿宋" w:eastAsia="仿宋" w:cs="仿宋"/>
          <w:sz w:val="28"/>
          <w:szCs w:val="28"/>
        </w:rPr>
        <w:t>综合评分法中的价格分统一采用低价优先法计算，即满足招标文件要求（通过资格、符合性审查）且投标价格最低的有效投标报价（指价格核准后的价格，下同）为评标基准价，其价格得分为满分。其他投标人的价格得分统一按照下列公式计算：价格得分=(评标基准价/投标报价)×价格权重×100</w:t>
      </w:r>
    </w:p>
    <w:p>
      <w:pPr>
        <w:numPr>
          <w:ilvl w:val="0"/>
          <w:numId w:val="16"/>
        </w:numPr>
        <w:jc w:val="left"/>
        <w:rPr>
          <w:rFonts w:ascii="仿宋" w:hAnsi="仿宋" w:eastAsia="仿宋" w:cs="仿宋"/>
          <w:sz w:val="28"/>
          <w:szCs w:val="28"/>
        </w:rPr>
      </w:pPr>
      <w:r>
        <w:rPr>
          <w:rFonts w:hint="eastAsia" w:ascii="仿宋" w:hAnsi="仿宋" w:eastAsia="仿宋" w:cs="仿宋"/>
          <w:sz w:val="28"/>
          <w:szCs w:val="28"/>
        </w:rPr>
        <w:t>投标总报价最高限价90万元人民币，超过此报价的投标文件将作为废标处理。</w:t>
      </w:r>
    </w:p>
    <w:p>
      <w:pPr>
        <w:pStyle w:val="12"/>
        <w:ind w:firstLine="560"/>
        <w:rPr>
          <w:rFonts w:ascii="仿宋" w:hAnsi="仿宋" w:eastAsia="仿宋" w:cs="仿宋"/>
          <w:sz w:val="28"/>
          <w:szCs w:val="28"/>
        </w:rPr>
      </w:pPr>
    </w:p>
    <w:p>
      <w:pPr>
        <w:pStyle w:val="12"/>
        <w:ind w:firstLine="560"/>
        <w:rPr>
          <w:rFonts w:ascii="仿宋" w:hAnsi="仿宋" w:eastAsia="仿宋" w:cs="仿宋"/>
          <w:sz w:val="28"/>
          <w:szCs w:val="28"/>
        </w:rPr>
      </w:pPr>
    </w:p>
    <w:p>
      <w:pPr>
        <w:pStyle w:val="12"/>
        <w:ind w:firstLine="560"/>
        <w:rPr>
          <w:rFonts w:ascii="仿宋" w:hAnsi="仿宋" w:eastAsia="仿宋" w:cs="仿宋"/>
          <w:sz w:val="28"/>
          <w:szCs w:val="28"/>
        </w:rPr>
      </w:pPr>
    </w:p>
    <w:p>
      <w:pPr>
        <w:pStyle w:val="12"/>
        <w:ind w:firstLine="560"/>
        <w:rPr>
          <w:rFonts w:ascii="仿宋" w:hAnsi="仿宋" w:eastAsia="仿宋" w:cs="仿宋"/>
          <w:sz w:val="28"/>
          <w:szCs w:val="28"/>
        </w:rPr>
      </w:pPr>
    </w:p>
    <w:p>
      <w:pPr>
        <w:pStyle w:val="12"/>
        <w:ind w:firstLine="560"/>
        <w:rPr>
          <w:rFonts w:ascii="仿宋" w:hAnsi="仿宋" w:eastAsia="仿宋" w:cs="仿宋"/>
          <w:sz w:val="28"/>
          <w:szCs w:val="28"/>
        </w:rPr>
      </w:pPr>
    </w:p>
    <w:p>
      <w:pPr>
        <w:pStyle w:val="12"/>
        <w:ind w:firstLine="560"/>
        <w:rPr>
          <w:rFonts w:ascii="仿宋" w:hAnsi="仿宋" w:eastAsia="仿宋" w:cs="仿宋"/>
          <w:sz w:val="28"/>
          <w:szCs w:val="28"/>
        </w:rPr>
      </w:pPr>
    </w:p>
    <w:p>
      <w:pPr>
        <w:pStyle w:val="12"/>
        <w:ind w:firstLine="560"/>
        <w:rPr>
          <w:rFonts w:ascii="仿宋" w:hAnsi="仿宋" w:eastAsia="仿宋" w:cs="仿宋"/>
          <w:sz w:val="28"/>
          <w:szCs w:val="28"/>
        </w:rPr>
      </w:pPr>
    </w:p>
    <w:p>
      <w:pPr>
        <w:pStyle w:val="12"/>
        <w:ind w:firstLine="560"/>
        <w:rPr>
          <w:rFonts w:ascii="仿宋" w:hAnsi="仿宋" w:eastAsia="仿宋" w:cs="仿宋"/>
          <w:sz w:val="28"/>
          <w:szCs w:val="28"/>
        </w:rPr>
      </w:pPr>
    </w:p>
    <w:p>
      <w:pPr>
        <w:pStyle w:val="12"/>
        <w:ind w:firstLine="560"/>
        <w:rPr>
          <w:rFonts w:ascii="仿宋" w:hAnsi="仿宋" w:eastAsia="仿宋" w:cs="仿宋"/>
          <w:sz w:val="28"/>
          <w:szCs w:val="28"/>
        </w:rPr>
      </w:pPr>
    </w:p>
    <w:p>
      <w:pPr>
        <w:pStyle w:val="12"/>
        <w:ind w:firstLine="560"/>
        <w:rPr>
          <w:rFonts w:ascii="仿宋" w:hAnsi="仿宋" w:eastAsia="仿宋" w:cs="仿宋"/>
          <w:sz w:val="28"/>
          <w:szCs w:val="28"/>
        </w:rPr>
      </w:pPr>
    </w:p>
    <w:p>
      <w:pPr>
        <w:pStyle w:val="4"/>
        <w:jc w:val="left"/>
        <w:rPr>
          <w:rFonts w:ascii="Times New Roman" w:hAnsi="Times New Roman"/>
          <w:b w:val="0"/>
          <w:bCs w:val="0"/>
        </w:rPr>
      </w:pPr>
      <w:r>
        <w:rPr>
          <w:rFonts w:hint="eastAsia" w:ascii="Times New Roman" w:hAnsi="Times New Roman"/>
          <w:b w:val="0"/>
          <w:bCs w:val="0"/>
        </w:rPr>
        <w:t>附件4：合同条款</w:t>
      </w:r>
    </w:p>
    <w:p>
      <w:pPr>
        <w:pStyle w:val="4"/>
        <w:jc w:val="center"/>
        <w:rPr>
          <w:szCs w:val="21"/>
        </w:rPr>
      </w:pPr>
      <w:r>
        <w:rPr>
          <w:rFonts w:hint="eastAsia" w:ascii="Times New Roman" w:hAnsi="Times New Roman"/>
        </w:rPr>
        <w:t>深圳市科学馆流动展品采购</w:t>
      </w:r>
      <w:r>
        <w:rPr>
          <w:rFonts w:ascii="Times New Roman" w:hAnsi="Times New Roman"/>
        </w:rPr>
        <w:t>合同</w:t>
      </w:r>
    </w:p>
    <w:p>
      <w:pPr>
        <w:jc w:val="left"/>
        <w:rPr>
          <w:rFonts w:ascii="仿宋" w:hAnsi="仿宋" w:eastAsia="仿宋" w:cs="仿宋"/>
          <w:sz w:val="28"/>
          <w:szCs w:val="28"/>
        </w:rPr>
      </w:pPr>
      <w:r>
        <w:rPr>
          <w:rFonts w:hint="eastAsia" w:ascii="仿宋" w:hAnsi="仿宋" w:eastAsia="仿宋" w:cs="仿宋"/>
          <w:sz w:val="28"/>
          <w:szCs w:val="28"/>
        </w:rPr>
        <w:t>采购人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甲方</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u w:val="single"/>
        </w:rPr>
        <w:t xml:space="preserve">           </w:t>
      </w:r>
    </w:p>
    <w:p>
      <w:pPr>
        <w:jc w:val="left"/>
        <w:rPr>
          <w:rFonts w:ascii="仿宋" w:hAnsi="仿宋" w:eastAsia="仿宋" w:cs="仿宋"/>
          <w:sz w:val="28"/>
          <w:szCs w:val="28"/>
        </w:rPr>
      </w:pPr>
      <w:r>
        <w:rPr>
          <w:rFonts w:hint="eastAsia" w:ascii="仿宋" w:hAnsi="仿宋" w:eastAsia="仿宋" w:cs="仿宋"/>
          <w:sz w:val="28"/>
          <w:szCs w:val="28"/>
        </w:rPr>
        <w:t>供应商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乙方</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u w:val="single"/>
        </w:rPr>
        <w:t xml:space="preserve">           </w:t>
      </w:r>
    </w:p>
    <w:p>
      <w:pPr>
        <w:jc w:val="left"/>
        <w:rPr>
          <w:rFonts w:ascii="仿宋" w:hAnsi="仿宋" w:eastAsia="仿宋" w:cs="仿宋"/>
          <w:sz w:val="36"/>
          <w:szCs w:val="36"/>
        </w:rPr>
      </w:pPr>
    </w:p>
    <w:p>
      <w:pPr>
        <w:ind w:firstLine="560"/>
        <w:jc w:val="left"/>
        <w:rPr>
          <w:rFonts w:ascii="仿宋" w:hAnsi="仿宋" w:eastAsia="仿宋" w:cs="仿宋"/>
          <w:sz w:val="28"/>
          <w:szCs w:val="28"/>
        </w:rPr>
      </w:pPr>
      <w:r>
        <w:rPr>
          <w:rFonts w:hint="eastAsia" w:ascii="仿宋" w:hAnsi="仿宋" w:eastAsia="仿宋" w:cs="仿宋"/>
          <w:sz w:val="28"/>
          <w:szCs w:val="28"/>
        </w:rPr>
        <w:t>按照《中华人民共和国民法典》和《深圳经济特区政府采购条例》，经深圳市</w:t>
      </w:r>
      <w:r>
        <w:rPr>
          <w:rFonts w:hint="eastAsia" w:ascii="仿宋" w:hAnsi="仿宋" w:eastAsia="仿宋" w:cs="仿宋"/>
          <w:sz w:val="28"/>
          <w:szCs w:val="28"/>
          <w:u w:val="single"/>
        </w:rPr>
        <w:t xml:space="preserve">           </w:t>
      </w:r>
      <w:r>
        <w:rPr>
          <w:rFonts w:hint="eastAsia" w:ascii="仿宋" w:hAnsi="仿宋" w:eastAsia="仿宋" w:cs="仿宋"/>
          <w:sz w:val="28"/>
          <w:szCs w:val="28"/>
        </w:rPr>
        <w:t>（以下简称甲方）和</w:t>
      </w:r>
      <w:r>
        <w:rPr>
          <w:rFonts w:hint="eastAsia" w:ascii="仿宋" w:hAnsi="仿宋" w:eastAsia="仿宋" w:cs="仿宋"/>
          <w:sz w:val="28"/>
          <w:szCs w:val="28"/>
          <w:u w:val="single"/>
        </w:rPr>
        <w:t xml:space="preserve">           </w:t>
      </w:r>
      <w:r>
        <w:rPr>
          <w:rFonts w:hint="eastAsia" w:ascii="仿宋" w:hAnsi="仿宋" w:eastAsia="仿宋" w:cs="仿宋"/>
          <w:sz w:val="28"/>
          <w:szCs w:val="28"/>
        </w:rPr>
        <w:t>单位（以下简称乙方）协商，达成以下合同条款：</w:t>
      </w:r>
    </w:p>
    <w:p>
      <w:pPr>
        <w:ind w:firstLine="560"/>
        <w:jc w:val="left"/>
        <w:rPr>
          <w:rFonts w:ascii="仿宋" w:hAnsi="仿宋" w:eastAsia="仿宋" w:cs="仿宋"/>
          <w:b/>
          <w:sz w:val="28"/>
          <w:szCs w:val="28"/>
        </w:rPr>
      </w:pPr>
      <w:r>
        <w:rPr>
          <w:rFonts w:hint="eastAsia" w:ascii="仿宋" w:hAnsi="仿宋" w:eastAsia="仿宋" w:cs="仿宋"/>
          <w:b/>
          <w:sz w:val="28"/>
          <w:szCs w:val="28"/>
        </w:rPr>
        <w:t>第一条  合同标的</w:t>
      </w:r>
    </w:p>
    <w:p>
      <w:pPr>
        <w:ind w:firstLine="560"/>
        <w:jc w:val="left"/>
        <w:rPr>
          <w:rFonts w:ascii="仿宋" w:hAnsi="仿宋" w:eastAsia="仿宋" w:cs="仿宋"/>
          <w:sz w:val="28"/>
          <w:szCs w:val="28"/>
        </w:rPr>
      </w:pPr>
      <w:r>
        <w:rPr>
          <w:rFonts w:hint="eastAsia" w:ascii="仿宋" w:hAnsi="仿宋" w:eastAsia="仿宋" w:cs="仿宋"/>
          <w:sz w:val="28"/>
          <w:szCs w:val="28"/>
        </w:rPr>
        <w:t>乙方根据甲方需求提供下列货物：</w:t>
      </w:r>
    </w:p>
    <w:p>
      <w:pPr>
        <w:ind w:firstLine="560"/>
        <w:jc w:val="left"/>
        <w:rPr>
          <w:rFonts w:ascii="仿宋" w:hAnsi="仿宋" w:eastAsia="仿宋" w:cs="仿宋"/>
          <w:sz w:val="28"/>
          <w:szCs w:val="28"/>
        </w:rPr>
      </w:pPr>
      <w:r>
        <w:rPr>
          <w:rFonts w:hint="eastAsia" w:ascii="仿宋" w:hAnsi="仿宋" w:eastAsia="仿宋" w:cs="仿宋"/>
          <w:sz w:val="28"/>
          <w:szCs w:val="28"/>
        </w:rPr>
        <w:t>货物名称、规格及数量详见</w:t>
      </w:r>
      <w:r>
        <w:rPr>
          <w:rFonts w:hint="eastAsia" w:ascii="仿宋" w:hAnsi="仿宋" w:eastAsia="仿宋" w:cs="仿宋"/>
          <w:b/>
          <w:sz w:val="28"/>
          <w:szCs w:val="28"/>
          <w:u w:val="single"/>
        </w:rPr>
        <w:t xml:space="preserve">                  </w:t>
      </w:r>
      <w:r>
        <w:rPr>
          <w:rFonts w:hint="eastAsia" w:ascii="仿宋" w:hAnsi="仿宋" w:eastAsia="仿宋" w:cs="仿宋"/>
          <w:sz w:val="28"/>
          <w:szCs w:val="28"/>
        </w:rPr>
        <w:t>。</w:t>
      </w:r>
    </w:p>
    <w:p>
      <w:pPr>
        <w:ind w:firstLine="560"/>
        <w:jc w:val="left"/>
        <w:rPr>
          <w:rFonts w:ascii="仿宋" w:hAnsi="仿宋" w:eastAsia="仿宋" w:cs="仿宋"/>
          <w:b/>
          <w:sz w:val="28"/>
          <w:szCs w:val="28"/>
        </w:rPr>
      </w:pPr>
      <w:r>
        <w:rPr>
          <w:rFonts w:hint="eastAsia" w:ascii="仿宋" w:hAnsi="仿宋" w:eastAsia="仿宋" w:cs="仿宋"/>
          <w:b/>
          <w:sz w:val="28"/>
          <w:szCs w:val="28"/>
        </w:rPr>
        <w:t>第二条  合同价款</w:t>
      </w:r>
    </w:p>
    <w:p>
      <w:pPr>
        <w:ind w:firstLine="560"/>
        <w:jc w:val="left"/>
        <w:rPr>
          <w:rFonts w:ascii="仿宋" w:hAnsi="仿宋" w:eastAsia="仿宋" w:cs="仿宋"/>
          <w:sz w:val="28"/>
          <w:szCs w:val="28"/>
        </w:rPr>
      </w:pPr>
      <w:r>
        <w:rPr>
          <w:rFonts w:hint="eastAsia" w:ascii="仿宋" w:hAnsi="仿宋" w:eastAsia="仿宋" w:cs="仿宋"/>
          <w:sz w:val="28"/>
          <w:szCs w:val="28"/>
        </w:rPr>
        <w:t>本合同项下总价款为</w:t>
      </w:r>
      <w:r>
        <w:rPr>
          <w:rFonts w:hint="eastAsia" w:ascii="仿宋" w:hAnsi="仿宋" w:eastAsia="仿宋" w:cs="仿宋"/>
          <w:sz w:val="28"/>
          <w:szCs w:val="28"/>
          <w:u w:val="single"/>
        </w:rPr>
        <w:t xml:space="preserve">              </w:t>
      </w:r>
      <w:r>
        <w:rPr>
          <w:rFonts w:hint="eastAsia" w:ascii="仿宋" w:hAnsi="仿宋" w:eastAsia="仿宋" w:cs="仿宋"/>
          <w:sz w:val="28"/>
          <w:szCs w:val="28"/>
        </w:rPr>
        <w:t>（大写）人民币（含税），分项价款详见</w:t>
      </w:r>
      <w:r>
        <w:rPr>
          <w:rFonts w:hint="eastAsia" w:ascii="仿宋" w:hAnsi="仿宋" w:eastAsia="仿宋" w:cs="仿宋"/>
          <w:b/>
          <w:sz w:val="28"/>
          <w:szCs w:val="28"/>
          <w:u w:val="single"/>
        </w:rPr>
        <w:t xml:space="preserve">          </w:t>
      </w:r>
      <w:r>
        <w:rPr>
          <w:rFonts w:hint="eastAsia" w:ascii="仿宋" w:hAnsi="仿宋" w:eastAsia="仿宋" w:cs="仿宋"/>
          <w:sz w:val="28"/>
          <w:szCs w:val="28"/>
        </w:rPr>
        <w:t>。本合同总价款已包括乙方为履行本合同义务所发生的一切费用，系固定不变价格，且不随通货膨胀的影响而波动。</w:t>
      </w:r>
    </w:p>
    <w:p>
      <w:pPr>
        <w:ind w:firstLine="560"/>
        <w:jc w:val="left"/>
        <w:rPr>
          <w:rFonts w:ascii="仿宋" w:hAnsi="仿宋" w:eastAsia="仿宋" w:cs="仿宋"/>
          <w:b/>
          <w:sz w:val="28"/>
          <w:szCs w:val="28"/>
        </w:rPr>
      </w:pPr>
      <w:r>
        <w:rPr>
          <w:rFonts w:hint="eastAsia" w:ascii="仿宋" w:hAnsi="仿宋" w:eastAsia="仿宋" w:cs="仿宋"/>
          <w:b/>
          <w:sz w:val="28"/>
          <w:szCs w:val="28"/>
        </w:rPr>
        <w:t>第三条  权利保证</w:t>
      </w:r>
    </w:p>
    <w:p>
      <w:pPr>
        <w:ind w:firstLine="560"/>
        <w:jc w:val="left"/>
        <w:rPr>
          <w:rFonts w:ascii="仿宋" w:hAnsi="仿宋" w:eastAsia="仿宋" w:cs="仿宋"/>
          <w:sz w:val="28"/>
          <w:szCs w:val="28"/>
        </w:rPr>
      </w:pPr>
      <w:r>
        <w:rPr>
          <w:rFonts w:hint="eastAsia" w:ascii="仿宋" w:hAnsi="仿宋" w:eastAsia="仿宋" w:cs="仿宋"/>
          <w:sz w:val="28"/>
          <w:szCs w:val="28"/>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甲方因此支出的一切合理费用由乙方承担。</w:t>
      </w:r>
    </w:p>
    <w:p>
      <w:pPr>
        <w:ind w:firstLine="560"/>
        <w:jc w:val="left"/>
        <w:rPr>
          <w:rFonts w:ascii="仿宋" w:hAnsi="仿宋" w:eastAsia="仿宋" w:cs="仿宋"/>
          <w:b/>
          <w:sz w:val="28"/>
          <w:szCs w:val="28"/>
        </w:rPr>
      </w:pPr>
      <w:r>
        <w:rPr>
          <w:rFonts w:hint="eastAsia" w:ascii="仿宋" w:hAnsi="仿宋" w:eastAsia="仿宋" w:cs="仿宋"/>
          <w:b/>
          <w:sz w:val="28"/>
          <w:szCs w:val="28"/>
        </w:rPr>
        <w:t>第四条  质量保证</w:t>
      </w:r>
    </w:p>
    <w:p>
      <w:pPr>
        <w:ind w:firstLine="560"/>
        <w:jc w:val="left"/>
        <w:rPr>
          <w:rFonts w:ascii="仿宋" w:hAnsi="仿宋" w:eastAsia="仿宋" w:cs="仿宋"/>
          <w:sz w:val="28"/>
          <w:szCs w:val="28"/>
        </w:rPr>
      </w:pPr>
      <w:r>
        <w:rPr>
          <w:rFonts w:hint="eastAsia" w:ascii="仿宋" w:hAnsi="仿宋" w:eastAsia="仿宋" w:cs="仿宋"/>
          <w:sz w:val="28"/>
          <w:szCs w:val="28"/>
        </w:rPr>
        <w:t>1、乙方所提供的货物的技术规格符合采购文件规定</w:t>
      </w:r>
      <w:r>
        <w:rPr>
          <w:rFonts w:hint="eastAsia" w:ascii="仿宋" w:hAnsi="仿宋" w:eastAsia="仿宋" w:cs="仿宋"/>
          <w:sz w:val="28"/>
          <w:szCs w:val="28"/>
          <w:lang w:val="en-US" w:eastAsia="zh-CN"/>
        </w:rPr>
        <w:t>及投标文件承诺更高</w:t>
      </w:r>
      <w:r>
        <w:rPr>
          <w:rFonts w:hint="eastAsia" w:ascii="仿宋" w:hAnsi="仿宋" w:eastAsia="仿宋" w:cs="仿宋"/>
          <w:sz w:val="28"/>
          <w:szCs w:val="28"/>
        </w:rPr>
        <w:t>的技术规格，货物符合中华人民共和国的设计</w:t>
      </w:r>
      <w:r>
        <w:rPr>
          <w:rFonts w:hint="eastAsia" w:ascii="仿宋" w:hAnsi="仿宋" w:eastAsia="仿宋" w:cs="仿宋"/>
          <w:sz w:val="28"/>
          <w:szCs w:val="28"/>
          <w:lang w:eastAsia="zh-CN"/>
        </w:rPr>
        <w:t>、</w:t>
      </w:r>
      <w:r>
        <w:rPr>
          <w:rFonts w:hint="eastAsia" w:ascii="仿宋" w:hAnsi="仿宋" w:eastAsia="仿宋" w:cs="仿宋"/>
          <w:sz w:val="28"/>
          <w:szCs w:val="28"/>
        </w:rPr>
        <w:t>制造</w:t>
      </w:r>
      <w:r>
        <w:rPr>
          <w:rFonts w:hint="eastAsia" w:ascii="仿宋" w:hAnsi="仿宋" w:eastAsia="仿宋" w:cs="仿宋"/>
          <w:sz w:val="28"/>
          <w:szCs w:val="28"/>
          <w:lang w:val="en-US" w:eastAsia="zh-CN"/>
        </w:rPr>
        <w:t>及使用的国家强制性</w:t>
      </w:r>
      <w:r>
        <w:rPr>
          <w:rFonts w:hint="eastAsia" w:ascii="仿宋" w:hAnsi="仿宋" w:eastAsia="仿宋" w:cs="仿宋"/>
          <w:sz w:val="28"/>
          <w:szCs w:val="28"/>
        </w:rPr>
        <w:t>标准或行业标准。</w:t>
      </w:r>
    </w:p>
    <w:p>
      <w:pPr>
        <w:ind w:firstLine="560"/>
        <w:jc w:val="left"/>
        <w:rPr>
          <w:rFonts w:ascii="仿宋" w:hAnsi="仿宋" w:eastAsia="仿宋" w:cs="仿宋"/>
          <w:sz w:val="28"/>
          <w:szCs w:val="28"/>
        </w:rPr>
      </w:pPr>
      <w:r>
        <w:rPr>
          <w:rFonts w:hint="eastAsia" w:ascii="仿宋" w:hAnsi="仿宋" w:eastAsia="仿宋" w:cs="仿宋"/>
          <w:sz w:val="28"/>
          <w:szCs w:val="28"/>
        </w:rPr>
        <w:t>2、乙方应保证货物是全新、未使用过的原装合格正品（包括零部件），并完全符合甲方要求的质量、规格和性能的要求。如货物安装或配置</w:t>
      </w:r>
      <w:r>
        <w:rPr>
          <w:rFonts w:hint="eastAsia" w:ascii="仿宋" w:hAnsi="仿宋" w:eastAsia="仿宋" w:cs="仿宋"/>
          <w:sz w:val="28"/>
          <w:szCs w:val="28"/>
          <w:lang w:val="en-US" w:eastAsia="zh-CN"/>
        </w:rPr>
        <w:t>相应操作</w:t>
      </w:r>
      <w:r>
        <w:rPr>
          <w:rFonts w:hint="eastAsia" w:ascii="仿宋" w:hAnsi="仿宋" w:eastAsia="仿宋" w:cs="仿宋"/>
          <w:sz w:val="28"/>
          <w:szCs w:val="28"/>
        </w:rPr>
        <w:t>软件的，乙方保证相关软件均为正版软件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在该设备上可以一直使用</w:t>
      </w:r>
      <w:r>
        <w:rPr>
          <w:rFonts w:hint="eastAsia" w:ascii="仿宋" w:hAnsi="仿宋" w:eastAsia="仿宋" w:cs="仿宋"/>
          <w:sz w:val="28"/>
          <w:szCs w:val="28"/>
        </w:rPr>
        <w:t>。</w:t>
      </w:r>
    </w:p>
    <w:p>
      <w:pPr>
        <w:ind w:firstLine="560"/>
        <w:jc w:val="left"/>
        <w:rPr>
          <w:rFonts w:ascii="仿宋" w:hAnsi="仿宋" w:eastAsia="仿宋" w:cs="仿宋"/>
          <w:sz w:val="28"/>
          <w:szCs w:val="28"/>
        </w:rPr>
      </w:pPr>
      <w:r>
        <w:rPr>
          <w:rFonts w:hint="eastAsia" w:ascii="仿宋" w:hAnsi="仿宋" w:eastAsia="仿宋" w:cs="仿宋"/>
          <w:sz w:val="28"/>
          <w:szCs w:val="28"/>
        </w:rPr>
        <w:t>3、乙方保证交货时一并提供货物的质量合格凭证或文件。</w:t>
      </w:r>
    </w:p>
    <w:p>
      <w:pPr>
        <w:ind w:firstLine="560"/>
        <w:jc w:val="left"/>
        <w:rPr>
          <w:rFonts w:ascii="仿宋" w:hAnsi="仿宋" w:eastAsia="仿宋" w:cs="仿宋"/>
          <w:b/>
          <w:sz w:val="28"/>
          <w:szCs w:val="28"/>
        </w:rPr>
      </w:pPr>
      <w:r>
        <w:rPr>
          <w:rFonts w:hint="eastAsia" w:ascii="仿宋" w:hAnsi="仿宋" w:eastAsia="仿宋" w:cs="仿宋"/>
          <w:b/>
          <w:sz w:val="28"/>
          <w:szCs w:val="28"/>
        </w:rPr>
        <w:t>第五条  交货和验收</w:t>
      </w:r>
    </w:p>
    <w:p>
      <w:pPr>
        <w:ind w:firstLine="560"/>
        <w:jc w:val="left"/>
        <w:rPr>
          <w:rFonts w:ascii="仿宋" w:hAnsi="仿宋" w:eastAsia="仿宋" w:cs="仿宋"/>
          <w:sz w:val="28"/>
          <w:szCs w:val="28"/>
        </w:rPr>
      </w:pPr>
      <w:r>
        <w:rPr>
          <w:rFonts w:hint="eastAsia" w:ascii="仿宋" w:hAnsi="仿宋" w:eastAsia="仿宋" w:cs="仿宋"/>
          <w:sz w:val="28"/>
          <w:szCs w:val="28"/>
        </w:rPr>
        <w:t>1、乙方应按照本合同或招投标文件规定的时间和方式向甲方交付货物，交货地点由甲方指定。因交货产生的费用由乙方自行承担。</w:t>
      </w:r>
    </w:p>
    <w:p>
      <w:pPr>
        <w:ind w:firstLine="560"/>
        <w:jc w:val="left"/>
        <w:rPr>
          <w:rFonts w:ascii="仿宋" w:hAnsi="仿宋" w:eastAsia="仿宋" w:cs="仿宋"/>
          <w:sz w:val="28"/>
          <w:szCs w:val="28"/>
        </w:rPr>
      </w:pPr>
      <w:r>
        <w:rPr>
          <w:rFonts w:hint="eastAsia" w:ascii="仿宋" w:hAnsi="仿宋" w:eastAsia="仿宋" w:cs="仿宋"/>
          <w:sz w:val="28"/>
          <w:szCs w:val="28"/>
        </w:rPr>
        <w:t>2、乙方交付的货物应当完全符合招投标文件所规定的货物、数量、质量和规格要求。乙方提供的货物不符合招投标文件和合同规定的，甲方有权拒收货物，由此引起的风险，由乙方承担。</w:t>
      </w:r>
    </w:p>
    <w:p>
      <w:pPr>
        <w:ind w:firstLine="560"/>
        <w:jc w:val="left"/>
        <w:rPr>
          <w:rFonts w:ascii="仿宋" w:hAnsi="仿宋" w:eastAsia="仿宋" w:cs="仿宋"/>
          <w:sz w:val="28"/>
          <w:szCs w:val="28"/>
        </w:rPr>
      </w:pPr>
      <w:r>
        <w:rPr>
          <w:rFonts w:hint="eastAsia" w:ascii="仿宋" w:hAnsi="仿宋" w:eastAsia="仿宋" w:cs="仿宋"/>
          <w:sz w:val="28"/>
          <w:szCs w:val="28"/>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ind w:firstLine="560"/>
        <w:jc w:val="left"/>
        <w:rPr>
          <w:rFonts w:ascii="仿宋" w:hAnsi="仿宋" w:eastAsia="仿宋" w:cs="仿宋"/>
          <w:sz w:val="28"/>
          <w:szCs w:val="28"/>
        </w:rPr>
      </w:pPr>
      <w:r>
        <w:rPr>
          <w:rFonts w:hint="eastAsia" w:ascii="仿宋" w:hAnsi="仿宋" w:eastAsia="仿宋" w:cs="仿宋"/>
          <w:sz w:val="28"/>
          <w:szCs w:val="28"/>
        </w:rPr>
        <w:t>4、甲方应当在到货后的</w:t>
      </w:r>
      <w:r>
        <w:rPr>
          <w:rFonts w:hint="eastAsia" w:ascii="仿宋" w:hAnsi="仿宋" w:eastAsia="仿宋" w:cs="仿宋"/>
          <w:sz w:val="28"/>
          <w:szCs w:val="28"/>
          <w:u w:val="single"/>
        </w:rPr>
        <w:t xml:space="preserve">       </w:t>
      </w:r>
      <w:r>
        <w:rPr>
          <w:rFonts w:hint="eastAsia" w:ascii="仿宋" w:hAnsi="仿宋" w:eastAsia="仿宋" w:cs="仿宋"/>
          <w:sz w:val="28"/>
          <w:szCs w:val="28"/>
        </w:rPr>
        <w:t>个工作日内对货物进行验收；需要乙方对货物或系统进行安装调试的，甲方应在货物安装调试完毕后的</w:t>
      </w:r>
      <w:r>
        <w:rPr>
          <w:rFonts w:hint="eastAsia" w:ascii="仿宋" w:hAnsi="仿宋" w:eastAsia="仿宋" w:cs="仿宋"/>
          <w:sz w:val="28"/>
          <w:szCs w:val="28"/>
          <w:u w:val="single"/>
        </w:rPr>
        <w:t xml:space="preserve">       </w:t>
      </w:r>
      <w:r>
        <w:rPr>
          <w:rFonts w:hint="eastAsia" w:ascii="仿宋" w:hAnsi="仿宋" w:eastAsia="仿宋" w:cs="仿宋"/>
          <w:sz w:val="28"/>
          <w:szCs w:val="28"/>
        </w:rPr>
        <w:t>个工作日内进行质量验收。</w:t>
      </w:r>
    </w:p>
    <w:p>
      <w:pPr>
        <w:ind w:firstLine="560"/>
        <w:jc w:val="left"/>
        <w:rPr>
          <w:rFonts w:ascii="仿宋" w:hAnsi="仿宋" w:eastAsia="仿宋" w:cs="仿宋"/>
          <w:b/>
          <w:sz w:val="28"/>
          <w:szCs w:val="28"/>
        </w:rPr>
      </w:pPr>
      <w:r>
        <w:rPr>
          <w:rFonts w:hint="eastAsia" w:ascii="仿宋" w:hAnsi="仿宋" w:eastAsia="仿宋" w:cs="仿宋"/>
          <w:b/>
          <w:sz w:val="28"/>
          <w:szCs w:val="28"/>
        </w:rPr>
        <w:t>第六条  保修及其他服务</w:t>
      </w:r>
    </w:p>
    <w:p>
      <w:pPr>
        <w:ind w:firstLine="560"/>
        <w:jc w:val="left"/>
        <w:rPr>
          <w:rFonts w:ascii="仿宋" w:hAnsi="仿宋" w:eastAsia="仿宋" w:cs="仿宋"/>
          <w:sz w:val="28"/>
          <w:szCs w:val="28"/>
        </w:rPr>
      </w:pPr>
      <w:r>
        <w:rPr>
          <w:rFonts w:hint="eastAsia" w:ascii="仿宋" w:hAnsi="仿宋" w:eastAsia="仿宋" w:cs="仿宋"/>
          <w:sz w:val="28"/>
          <w:szCs w:val="28"/>
        </w:rPr>
        <w:t>1、乙方应按照国家有关法律法规规章和“三包”规定和采购文件的要求及乙方在投标文件的相关承诺提供保修及其他服务。</w:t>
      </w:r>
    </w:p>
    <w:p>
      <w:pPr>
        <w:ind w:firstLine="560"/>
        <w:jc w:val="left"/>
        <w:rPr>
          <w:rFonts w:ascii="仿宋" w:hAnsi="仿宋" w:eastAsia="仿宋" w:cs="仿宋"/>
          <w:sz w:val="28"/>
          <w:szCs w:val="28"/>
        </w:rPr>
      </w:pPr>
      <w:r>
        <w:rPr>
          <w:rFonts w:hint="eastAsia" w:ascii="仿宋" w:hAnsi="仿宋" w:eastAsia="仿宋" w:cs="仿宋"/>
          <w:sz w:val="28"/>
          <w:szCs w:val="28"/>
        </w:rPr>
        <w:t>2、保修期内，乙方负责对其提供的货物进行维修和系统维护，不再收取任何费用。所有货物保修服务方式均为乙方上门保修，即由乙方派员到货物使用现场维修，由此产生的一切费用均由乙方承担。保修期后的货物维护另行协商。</w:t>
      </w:r>
    </w:p>
    <w:p>
      <w:pPr>
        <w:ind w:firstLine="560"/>
        <w:jc w:val="left"/>
        <w:rPr>
          <w:rFonts w:ascii="仿宋" w:hAnsi="仿宋" w:eastAsia="仿宋" w:cs="仿宋"/>
          <w:b/>
          <w:sz w:val="28"/>
          <w:szCs w:val="28"/>
        </w:rPr>
      </w:pPr>
      <w:r>
        <w:rPr>
          <w:rFonts w:hint="eastAsia" w:ascii="仿宋" w:hAnsi="仿宋" w:eastAsia="仿宋" w:cs="仿宋"/>
          <w:b/>
          <w:sz w:val="28"/>
          <w:szCs w:val="28"/>
        </w:rPr>
        <w:t>第七条   货款支付</w:t>
      </w:r>
    </w:p>
    <w:p>
      <w:pPr>
        <w:ind w:firstLine="560"/>
        <w:jc w:val="left"/>
        <w:rPr>
          <w:rFonts w:ascii="仿宋" w:hAnsi="仿宋" w:eastAsia="仿宋" w:cs="仿宋"/>
          <w:sz w:val="28"/>
          <w:szCs w:val="36"/>
        </w:rPr>
      </w:pPr>
      <w:bookmarkStart w:id="0" w:name="OLE_LINK23"/>
      <w:bookmarkStart w:id="1" w:name="OLE_LINK24"/>
      <w:r>
        <w:rPr>
          <w:rFonts w:hint="eastAsia" w:ascii="仿宋" w:hAnsi="仿宋" w:eastAsia="仿宋" w:cs="仿宋"/>
          <w:sz w:val="28"/>
          <w:szCs w:val="36"/>
        </w:rPr>
        <w:t>1、合同签订后</w:t>
      </w: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乙方提供等额</w:t>
      </w:r>
      <w:r>
        <w:rPr>
          <w:rFonts w:hint="eastAsia" w:ascii="仿宋" w:hAnsi="仿宋" w:eastAsia="仿宋" w:cs="仿宋"/>
          <w:sz w:val="28"/>
          <w:szCs w:val="36"/>
        </w:rPr>
        <w:t>增值税发票</w:t>
      </w:r>
      <w:r>
        <w:rPr>
          <w:rFonts w:hint="eastAsia" w:ascii="仿宋" w:hAnsi="仿宋" w:eastAsia="仿宋" w:cs="仿宋"/>
          <w:sz w:val="28"/>
          <w:szCs w:val="36"/>
          <w:lang w:val="en-US" w:eastAsia="zh-CN"/>
        </w:rPr>
        <w:t>后</w:t>
      </w:r>
      <w:r>
        <w:rPr>
          <w:rFonts w:hint="eastAsia" w:ascii="仿宋" w:hAnsi="仿宋" w:eastAsia="仿宋" w:cs="仿宋"/>
          <w:sz w:val="28"/>
          <w:szCs w:val="36"/>
        </w:rPr>
        <w:t>30日内，甲方支付30%的合同款。</w:t>
      </w:r>
    </w:p>
    <w:p>
      <w:pPr>
        <w:ind w:firstLine="560"/>
        <w:jc w:val="left"/>
        <w:rPr>
          <w:rFonts w:ascii="仿宋" w:hAnsi="仿宋" w:eastAsia="仿宋" w:cs="仿宋"/>
          <w:sz w:val="28"/>
          <w:szCs w:val="36"/>
        </w:rPr>
      </w:pPr>
      <w:r>
        <w:rPr>
          <w:rFonts w:hint="eastAsia" w:ascii="仿宋" w:hAnsi="仿宋" w:eastAsia="仿宋" w:cs="仿宋"/>
          <w:sz w:val="28"/>
          <w:szCs w:val="36"/>
        </w:rPr>
        <w:t>2、乙方安装调试完毕、试运行不少于10个工作日</w:t>
      </w:r>
      <w:r>
        <w:rPr>
          <w:rFonts w:hint="eastAsia" w:ascii="仿宋" w:hAnsi="仿宋" w:eastAsia="仿宋" w:cs="仿宋"/>
          <w:sz w:val="28"/>
          <w:szCs w:val="36"/>
          <w:lang w:val="en-US" w:eastAsia="zh-CN"/>
        </w:rPr>
        <w:t>后</w:t>
      </w:r>
      <w:r>
        <w:rPr>
          <w:rFonts w:hint="eastAsia" w:ascii="仿宋" w:hAnsi="仿宋" w:eastAsia="仿宋" w:cs="仿宋"/>
          <w:sz w:val="28"/>
          <w:szCs w:val="36"/>
          <w:lang w:eastAsia="zh-CN"/>
        </w:rPr>
        <w:t>，</w:t>
      </w:r>
      <w:r>
        <w:rPr>
          <w:rFonts w:hint="eastAsia" w:ascii="仿宋" w:hAnsi="仿宋" w:eastAsia="仿宋" w:cs="仿宋"/>
          <w:sz w:val="28"/>
          <w:szCs w:val="36"/>
        </w:rPr>
        <w:t>经甲方验收</w:t>
      </w:r>
      <w:r>
        <w:rPr>
          <w:rFonts w:hint="eastAsia" w:ascii="仿宋" w:hAnsi="仿宋" w:eastAsia="仿宋" w:cs="仿宋"/>
          <w:sz w:val="28"/>
          <w:szCs w:val="36"/>
          <w:lang w:val="en-US" w:eastAsia="zh-CN"/>
        </w:rPr>
        <w:t>合格、乙方提供等额增值税发票</w:t>
      </w:r>
      <w:r>
        <w:rPr>
          <w:rFonts w:hint="eastAsia" w:ascii="仿宋" w:hAnsi="仿宋" w:eastAsia="仿宋" w:cs="仿宋"/>
          <w:sz w:val="28"/>
          <w:szCs w:val="36"/>
        </w:rPr>
        <w:t>后</w:t>
      </w:r>
      <w:r>
        <w:rPr>
          <w:rFonts w:hint="eastAsia" w:ascii="仿宋" w:hAnsi="仿宋" w:eastAsia="仿宋" w:cs="仿宋"/>
          <w:sz w:val="28"/>
          <w:szCs w:val="36"/>
          <w:lang w:val="en-US" w:eastAsia="zh-CN"/>
        </w:rPr>
        <w:t>30日内</w:t>
      </w:r>
      <w:r>
        <w:rPr>
          <w:rFonts w:hint="eastAsia" w:ascii="仿宋" w:hAnsi="仿宋" w:eastAsia="仿宋" w:cs="仿宋"/>
          <w:sz w:val="28"/>
          <w:szCs w:val="36"/>
        </w:rPr>
        <w:t>，甲方支付70%的合同款。</w:t>
      </w:r>
    </w:p>
    <w:p>
      <w:pPr>
        <w:ind w:firstLine="560"/>
        <w:jc w:val="left"/>
        <w:rPr>
          <w:rFonts w:hint="eastAsia" w:ascii="仿宋" w:hAnsi="仿宋" w:eastAsia="仿宋" w:cs="仿宋"/>
          <w:sz w:val="28"/>
          <w:szCs w:val="36"/>
          <w:lang w:val="en-US" w:eastAsia="zh-CN"/>
        </w:rPr>
      </w:pPr>
      <w:r>
        <w:rPr>
          <w:rFonts w:hint="eastAsia" w:ascii="仿宋" w:hAnsi="仿宋" w:eastAsia="仿宋" w:cs="仿宋"/>
          <w:sz w:val="28"/>
          <w:szCs w:val="36"/>
        </w:rPr>
        <w:t>3、乙方的账户信息如下：</w:t>
      </w:r>
    </w:p>
    <w:p>
      <w:pPr>
        <w:pStyle w:val="12"/>
        <w:ind w:firstLine="560"/>
        <w:rPr>
          <w:rFonts w:ascii="仿宋" w:hAnsi="仿宋" w:eastAsia="仿宋" w:cs="仿宋"/>
          <w:sz w:val="28"/>
          <w:szCs w:val="36"/>
        </w:rPr>
      </w:pPr>
      <w:r>
        <w:rPr>
          <w:rFonts w:hint="eastAsia" w:ascii="仿宋" w:hAnsi="仿宋" w:eastAsia="仿宋" w:cs="仿宋"/>
          <w:sz w:val="28"/>
          <w:szCs w:val="36"/>
        </w:rPr>
        <w:t>名称：</w:t>
      </w:r>
    </w:p>
    <w:p>
      <w:pPr>
        <w:pStyle w:val="12"/>
        <w:ind w:firstLine="560"/>
        <w:rPr>
          <w:rFonts w:ascii="仿宋" w:hAnsi="仿宋" w:eastAsia="仿宋" w:cs="仿宋"/>
          <w:sz w:val="28"/>
          <w:szCs w:val="36"/>
        </w:rPr>
      </w:pPr>
      <w:r>
        <w:rPr>
          <w:rFonts w:hint="eastAsia" w:ascii="仿宋" w:hAnsi="仿宋" w:eastAsia="仿宋" w:cs="仿宋"/>
          <w:sz w:val="28"/>
          <w:szCs w:val="36"/>
        </w:rPr>
        <w:t>开户行：</w:t>
      </w:r>
    </w:p>
    <w:p>
      <w:pPr>
        <w:pStyle w:val="12"/>
        <w:ind w:firstLine="560"/>
        <w:rPr>
          <w:rFonts w:ascii="仿宋" w:hAnsi="仿宋" w:eastAsia="仿宋" w:cs="仿宋"/>
          <w:sz w:val="28"/>
          <w:szCs w:val="36"/>
        </w:rPr>
      </w:pPr>
      <w:r>
        <w:rPr>
          <w:rFonts w:hint="eastAsia" w:ascii="仿宋" w:hAnsi="仿宋" w:eastAsia="仿宋" w:cs="仿宋"/>
          <w:sz w:val="28"/>
          <w:szCs w:val="36"/>
        </w:rPr>
        <w:t>账号：</w:t>
      </w:r>
    </w:p>
    <w:bookmarkEnd w:id="0"/>
    <w:bookmarkEnd w:id="1"/>
    <w:p>
      <w:pPr>
        <w:ind w:firstLine="560"/>
        <w:jc w:val="left"/>
        <w:rPr>
          <w:rFonts w:ascii="仿宋" w:hAnsi="仿宋" w:eastAsia="仿宋" w:cs="仿宋"/>
          <w:b/>
          <w:sz w:val="28"/>
          <w:szCs w:val="28"/>
        </w:rPr>
      </w:pPr>
      <w:r>
        <w:rPr>
          <w:rFonts w:hint="eastAsia" w:ascii="仿宋" w:hAnsi="仿宋" w:eastAsia="仿宋" w:cs="仿宋"/>
          <w:b/>
          <w:sz w:val="28"/>
          <w:szCs w:val="28"/>
        </w:rPr>
        <w:t>第八条   违约责任</w:t>
      </w:r>
    </w:p>
    <w:p>
      <w:pPr>
        <w:ind w:firstLine="560"/>
        <w:jc w:val="left"/>
        <w:rPr>
          <w:rFonts w:ascii="仿宋" w:hAnsi="仿宋" w:eastAsia="仿宋" w:cs="仿宋"/>
          <w:sz w:val="28"/>
          <w:szCs w:val="28"/>
        </w:rPr>
      </w:pPr>
      <w:r>
        <w:rPr>
          <w:rFonts w:hint="eastAsia" w:ascii="仿宋" w:hAnsi="仿宋" w:eastAsia="仿宋" w:cs="仿宋"/>
          <w:sz w:val="28"/>
          <w:szCs w:val="28"/>
        </w:rPr>
        <w:t>１、甲方无正当理由拒收货物、拒付货物款的，由甲方向乙方偿付合同总价的【20】%违约金。</w:t>
      </w:r>
    </w:p>
    <w:p>
      <w:pPr>
        <w:ind w:firstLine="560"/>
        <w:jc w:val="left"/>
        <w:rPr>
          <w:rFonts w:ascii="仿宋" w:hAnsi="仿宋" w:eastAsia="仿宋" w:cs="仿宋"/>
          <w:sz w:val="28"/>
          <w:szCs w:val="28"/>
        </w:rPr>
      </w:pPr>
      <w:r>
        <w:rPr>
          <w:rFonts w:hint="eastAsia" w:ascii="仿宋" w:hAnsi="仿宋" w:eastAsia="仿宋" w:cs="仿宋"/>
          <w:sz w:val="28"/>
          <w:szCs w:val="28"/>
        </w:rPr>
        <w:t>２、甲方未按合同规定的期限向乙方支付货款的，每逾期1天甲方向乙方偿付欠款总额的【0.4】‰滞纳金，但累计滞纳金总额不超过欠款总额的【20】% 。</w:t>
      </w:r>
    </w:p>
    <w:p>
      <w:pPr>
        <w:ind w:firstLine="560"/>
        <w:jc w:val="left"/>
        <w:rPr>
          <w:rFonts w:ascii="仿宋" w:hAnsi="仿宋" w:eastAsia="仿宋" w:cs="仿宋"/>
          <w:sz w:val="28"/>
          <w:szCs w:val="28"/>
        </w:rPr>
      </w:pPr>
      <w:r>
        <w:rPr>
          <w:rFonts w:hint="eastAsia" w:ascii="仿宋" w:hAnsi="仿宋" w:eastAsia="仿宋" w:cs="仿宋"/>
          <w:sz w:val="28"/>
          <w:szCs w:val="28"/>
        </w:rPr>
        <w:t>３、乙方逾期交付货物的，每逾期1天，乙方向甲方偿付逾期交货部分货款总额的【1】‰的滞纳金。如乙方逾期交货达</w:t>
      </w:r>
      <w:r>
        <w:rPr>
          <w:rFonts w:hint="eastAsia" w:ascii="仿宋" w:hAnsi="仿宋" w:eastAsia="仿宋" w:cs="仿宋"/>
          <w:sz w:val="28"/>
          <w:szCs w:val="28"/>
          <w:u w:val="single"/>
        </w:rPr>
        <w:t xml:space="preserve">   7 </w:t>
      </w:r>
      <w:r>
        <w:rPr>
          <w:rFonts w:hint="eastAsia" w:ascii="仿宋" w:hAnsi="仿宋" w:eastAsia="仿宋" w:cs="仿宋"/>
          <w:sz w:val="28"/>
          <w:szCs w:val="28"/>
        </w:rPr>
        <w:t>天，甲方有权解除合同，同时乙方应向甲方支付合同总价【20】％的违约金。</w:t>
      </w:r>
    </w:p>
    <w:p>
      <w:pPr>
        <w:ind w:firstLine="560"/>
        <w:jc w:val="left"/>
        <w:rPr>
          <w:rFonts w:ascii="仿宋" w:hAnsi="仿宋" w:eastAsia="仿宋" w:cs="仿宋"/>
          <w:sz w:val="28"/>
          <w:szCs w:val="28"/>
        </w:rPr>
      </w:pPr>
      <w:r>
        <w:rPr>
          <w:rFonts w:hint="eastAsia" w:ascii="仿宋" w:hAnsi="仿宋" w:eastAsia="仿宋" w:cs="仿宋"/>
          <w:sz w:val="28"/>
          <w:szCs w:val="28"/>
        </w:rPr>
        <w:t>4、乙方所交付的货物品种、型号、规格不符合合同规定的，甲方有权拒收。甲方拒收的，乙方应向甲方支付货款总额【20】%的违约金。</w:t>
      </w:r>
    </w:p>
    <w:p>
      <w:pPr>
        <w:ind w:firstLine="560"/>
        <w:jc w:val="left"/>
        <w:rPr>
          <w:rFonts w:ascii="仿宋" w:hAnsi="仿宋" w:eastAsia="仿宋" w:cs="仿宋"/>
          <w:sz w:val="28"/>
          <w:szCs w:val="28"/>
        </w:rPr>
      </w:pPr>
      <w:r>
        <w:rPr>
          <w:rFonts w:hint="eastAsia" w:ascii="仿宋" w:hAnsi="仿宋" w:eastAsia="仿宋" w:cs="仿宋"/>
          <w:sz w:val="28"/>
          <w:szCs w:val="28"/>
        </w:rPr>
        <w:t>5、在乙方承诺的或国家规定的质量保证期内（取两者中最长的期限），如经乙方两次维修或更换，货物仍不能达到合同约定的质量标准，甲方有权退货，乙方应退回全部货款并赔偿甲方因此遭受的损失。</w:t>
      </w:r>
    </w:p>
    <w:p>
      <w:pPr>
        <w:ind w:firstLine="560"/>
        <w:jc w:val="left"/>
        <w:rPr>
          <w:rFonts w:ascii="仿宋" w:hAnsi="仿宋" w:eastAsia="仿宋" w:cs="仿宋"/>
          <w:sz w:val="28"/>
          <w:szCs w:val="28"/>
        </w:rPr>
      </w:pPr>
      <w:r>
        <w:rPr>
          <w:rFonts w:hint="eastAsia" w:ascii="仿宋" w:hAnsi="仿宋" w:eastAsia="仿宋" w:cs="仿宋"/>
          <w:sz w:val="28"/>
          <w:szCs w:val="28"/>
        </w:rPr>
        <w:t>6、乙方未履行本合同项下的其他义务或违反其在投标文件中的相关承诺的，应按合同总价款的【20】%向甲方承担违约责任。</w:t>
      </w:r>
    </w:p>
    <w:p>
      <w:pPr>
        <w:ind w:firstLine="560"/>
        <w:jc w:val="left"/>
        <w:rPr>
          <w:rFonts w:hint="eastAsia" w:ascii="仿宋" w:hAnsi="仿宋" w:eastAsia="仿宋" w:cs="仿宋"/>
          <w:sz w:val="28"/>
          <w:szCs w:val="28"/>
        </w:rPr>
      </w:pPr>
      <w:r>
        <w:rPr>
          <w:rFonts w:hint="eastAsia" w:ascii="仿宋" w:hAnsi="仿宋" w:eastAsia="仿宋" w:cs="仿宋"/>
          <w:sz w:val="28"/>
          <w:szCs w:val="28"/>
        </w:rPr>
        <w:t>7、乙方在承担上述一项或多项违约责任后，仍应继续履行合同规定的义务（甲方解除合同的除外）。甲方未能及时追究乙方的任何一项违约责任并不表明甲方放弃追究乙方该项或其他违约责任。</w:t>
      </w:r>
    </w:p>
    <w:p>
      <w:pPr>
        <w:pStyle w:val="2"/>
        <w:ind w:firstLine="560" w:firstLineChars="200"/>
        <w:rPr>
          <w:rFonts w:hint="default" w:eastAsia="仿宋"/>
          <w:lang w:val="en-US" w:eastAsia="zh-CN"/>
        </w:rPr>
      </w:pPr>
      <w:r>
        <w:rPr>
          <w:rFonts w:hint="eastAsia" w:ascii="仿宋" w:hAnsi="仿宋" w:eastAsia="仿宋" w:cs="仿宋"/>
          <w:sz w:val="28"/>
          <w:szCs w:val="28"/>
          <w:lang w:val="en-US" w:eastAsia="zh-CN"/>
        </w:rPr>
        <w:t>8、乙方违约，甲方向乙方追索的，甲方因此支出的一切合理费用（包括但不限于律师费、诉讼费、担保费、保全费、鉴定费）由乙方承担。</w:t>
      </w:r>
    </w:p>
    <w:p>
      <w:pPr>
        <w:ind w:firstLine="560"/>
        <w:jc w:val="left"/>
        <w:rPr>
          <w:rFonts w:ascii="仿宋" w:hAnsi="仿宋" w:eastAsia="仿宋" w:cs="仿宋"/>
          <w:b/>
          <w:sz w:val="28"/>
          <w:szCs w:val="28"/>
        </w:rPr>
      </w:pPr>
      <w:r>
        <w:rPr>
          <w:rFonts w:hint="eastAsia" w:ascii="仿宋" w:hAnsi="仿宋" w:eastAsia="仿宋" w:cs="仿宋"/>
          <w:b/>
          <w:sz w:val="28"/>
          <w:szCs w:val="28"/>
        </w:rPr>
        <w:t>第九条    合同的变更和终止</w:t>
      </w:r>
    </w:p>
    <w:p>
      <w:pPr>
        <w:ind w:firstLine="560"/>
        <w:jc w:val="left"/>
        <w:rPr>
          <w:rFonts w:ascii="仿宋" w:hAnsi="仿宋" w:eastAsia="仿宋" w:cs="仿宋"/>
          <w:sz w:val="28"/>
          <w:szCs w:val="28"/>
        </w:rPr>
      </w:pPr>
      <w:r>
        <w:rPr>
          <w:rFonts w:hint="eastAsia" w:ascii="仿宋" w:hAnsi="仿宋" w:eastAsia="仿宋" w:cs="仿宋"/>
          <w:sz w:val="28"/>
          <w:szCs w:val="28"/>
        </w:rPr>
        <w:t>除</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中华人民共和国民法典</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相关规定及</w:t>
      </w:r>
      <w:r>
        <w:rPr>
          <w:rFonts w:hint="eastAsia" w:ascii="仿宋" w:hAnsi="仿宋" w:eastAsia="仿宋" w:cs="仿宋"/>
          <w:sz w:val="28"/>
          <w:szCs w:val="28"/>
        </w:rPr>
        <w:t>《中华人民共和国政府采购法》第４９条、第５０条第二款规定的情形外，本合同一经签订，甲乙双方不得擅自变更、中止或终止合同。</w:t>
      </w:r>
    </w:p>
    <w:p>
      <w:pPr>
        <w:ind w:firstLine="560"/>
        <w:jc w:val="left"/>
        <w:rPr>
          <w:rFonts w:ascii="仿宋" w:hAnsi="仿宋" w:eastAsia="仿宋" w:cs="仿宋"/>
          <w:b/>
          <w:sz w:val="28"/>
          <w:szCs w:val="28"/>
        </w:rPr>
      </w:pPr>
      <w:r>
        <w:rPr>
          <w:rFonts w:hint="eastAsia" w:ascii="仿宋" w:hAnsi="仿宋" w:eastAsia="仿宋" w:cs="仿宋"/>
          <w:b/>
          <w:sz w:val="28"/>
          <w:szCs w:val="28"/>
        </w:rPr>
        <w:t>第十条   争议的解决</w:t>
      </w:r>
    </w:p>
    <w:p>
      <w:pPr>
        <w:ind w:firstLine="560"/>
        <w:jc w:val="left"/>
        <w:rPr>
          <w:rFonts w:ascii="仿宋" w:hAnsi="仿宋" w:eastAsia="仿宋" w:cs="仿宋"/>
          <w:sz w:val="28"/>
          <w:szCs w:val="28"/>
        </w:rPr>
      </w:pPr>
      <w:bookmarkStart w:id="2" w:name="OLE_LINK19"/>
      <w:bookmarkStart w:id="3" w:name="OLE_LINK20"/>
      <w:r>
        <w:rPr>
          <w:rFonts w:hint="eastAsia" w:ascii="仿宋" w:hAnsi="仿宋" w:eastAsia="仿宋" w:cs="仿宋"/>
          <w:sz w:val="28"/>
          <w:szCs w:val="28"/>
        </w:rPr>
        <w:t>1、因货物的质量问题发生争议的，应当邀请国家认可的质量检测机构对货物质量进行鉴定，鉴定费用由乙方先行垫付。经鉴定，货物符合标准的，鉴定费由甲方承担；货物不符合质量标准的，鉴定费由乙方承担。</w:t>
      </w:r>
      <w:bookmarkEnd w:id="2"/>
      <w:bookmarkEnd w:id="3"/>
    </w:p>
    <w:p>
      <w:pPr>
        <w:ind w:firstLine="560"/>
        <w:jc w:val="left"/>
        <w:rPr>
          <w:rFonts w:hint="eastAsia" w:ascii="仿宋" w:hAnsi="仿宋" w:eastAsia="仿宋" w:cs="仿宋"/>
          <w:sz w:val="28"/>
          <w:szCs w:val="28"/>
          <w:lang w:eastAsia="zh-CN"/>
        </w:rPr>
      </w:pPr>
      <w:r>
        <w:rPr>
          <w:rFonts w:hint="eastAsia" w:ascii="仿宋" w:hAnsi="仿宋" w:eastAsia="仿宋" w:cs="仿宋"/>
          <w:sz w:val="28"/>
          <w:szCs w:val="28"/>
        </w:rPr>
        <w:t>2、因履行本合同引起的或与本合同有关的争议，甲、乙双方应首先通过友好协商解决，如果协商不能解决争议，则向甲方所在地有管辖权的人民法院提起诉讼</w:t>
      </w:r>
      <w:r>
        <w:rPr>
          <w:rFonts w:hint="eastAsia" w:ascii="仿宋" w:hAnsi="仿宋" w:eastAsia="仿宋" w:cs="仿宋"/>
          <w:sz w:val="28"/>
          <w:szCs w:val="28"/>
          <w:lang w:eastAsia="zh-CN"/>
        </w:rPr>
        <w:t>。</w:t>
      </w:r>
    </w:p>
    <w:p>
      <w:pPr>
        <w:ind w:firstLine="560"/>
        <w:jc w:val="left"/>
        <w:rPr>
          <w:rFonts w:ascii="仿宋" w:hAnsi="仿宋" w:eastAsia="仿宋" w:cs="仿宋"/>
          <w:b/>
          <w:sz w:val="28"/>
          <w:szCs w:val="28"/>
        </w:rPr>
      </w:pPr>
      <w:r>
        <w:rPr>
          <w:rFonts w:hint="eastAsia" w:ascii="仿宋" w:hAnsi="仿宋" w:eastAsia="仿宋" w:cs="仿宋"/>
          <w:b/>
          <w:sz w:val="28"/>
          <w:szCs w:val="28"/>
        </w:rPr>
        <w:t>第十一条   合同生效及其他</w:t>
      </w:r>
    </w:p>
    <w:p>
      <w:pPr>
        <w:ind w:firstLine="560"/>
        <w:jc w:val="left"/>
        <w:rPr>
          <w:rFonts w:ascii="仿宋" w:hAnsi="仿宋" w:eastAsia="仿宋" w:cs="仿宋"/>
          <w:sz w:val="28"/>
          <w:szCs w:val="28"/>
        </w:rPr>
      </w:pPr>
      <w:r>
        <w:rPr>
          <w:rFonts w:hint="eastAsia" w:ascii="仿宋" w:hAnsi="仿宋" w:eastAsia="仿宋" w:cs="仿宋"/>
          <w:sz w:val="28"/>
          <w:szCs w:val="28"/>
        </w:rPr>
        <w:t>1、下列文件均为本合同的组成部分：</w:t>
      </w:r>
    </w:p>
    <w:p>
      <w:pPr>
        <w:ind w:firstLine="560"/>
        <w:jc w:val="lef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号采购文件、答疑及补充通知；</w:t>
      </w:r>
    </w:p>
    <w:p>
      <w:pPr>
        <w:ind w:firstLine="560"/>
        <w:jc w:val="left"/>
        <w:rPr>
          <w:rFonts w:ascii="仿宋" w:hAnsi="仿宋" w:eastAsia="仿宋" w:cs="仿宋"/>
          <w:sz w:val="28"/>
          <w:szCs w:val="28"/>
        </w:rPr>
      </w:pPr>
      <w:r>
        <w:rPr>
          <w:rFonts w:hint="eastAsia" w:ascii="仿宋" w:hAnsi="仿宋" w:eastAsia="仿宋" w:cs="仿宋"/>
          <w:sz w:val="28"/>
          <w:szCs w:val="28"/>
        </w:rPr>
        <w:t>（2）乙方的投标文件；</w:t>
      </w:r>
    </w:p>
    <w:p>
      <w:pPr>
        <w:ind w:firstLine="560"/>
        <w:jc w:val="left"/>
        <w:rPr>
          <w:rFonts w:ascii="仿宋" w:hAnsi="仿宋" w:eastAsia="仿宋" w:cs="仿宋"/>
          <w:sz w:val="28"/>
          <w:szCs w:val="28"/>
        </w:rPr>
      </w:pPr>
      <w:r>
        <w:rPr>
          <w:rFonts w:hint="eastAsia" w:ascii="仿宋" w:hAnsi="仿宋" w:eastAsia="仿宋" w:cs="仿宋"/>
          <w:sz w:val="28"/>
          <w:szCs w:val="28"/>
        </w:rPr>
        <w:t>（3）本合同执行中甲乙双方共同签署的补充与修正文件。</w:t>
      </w:r>
    </w:p>
    <w:p>
      <w:pPr>
        <w:ind w:firstLine="560"/>
        <w:jc w:val="left"/>
        <w:rPr>
          <w:rFonts w:ascii="仿宋" w:hAnsi="仿宋" w:eastAsia="仿宋" w:cs="仿宋"/>
          <w:sz w:val="28"/>
          <w:szCs w:val="28"/>
        </w:rPr>
      </w:pPr>
      <w:r>
        <w:rPr>
          <w:rFonts w:hint="eastAsia" w:ascii="仿宋" w:hAnsi="仿宋" w:eastAsia="仿宋" w:cs="仿宋"/>
          <w:sz w:val="28"/>
          <w:szCs w:val="28"/>
        </w:rPr>
        <w:t>2、本合同一式</w:t>
      </w:r>
      <w:r>
        <w:rPr>
          <w:rFonts w:hint="eastAsia" w:ascii="仿宋" w:hAnsi="仿宋" w:eastAsia="仿宋" w:cs="仿宋"/>
          <w:sz w:val="28"/>
          <w:szCs w:val="28"/>
          <w:u w:val="single"/>
        </w:rPr>
        <w:t xml:space="preserve">     </w:t>
      </w:r>
      <w:r>
        <w:rPr>
          <w:rFonts w:hint="eastAsia" w:ascii="仿宋" w:hAnsi="仿宋" w:eastAsia="仿宋" w:cs="仿宋"/>
          <w:sz w:val="28"/>
          <w:szCs w:val="28"/>
        </w:rPr>
        <w:t>份，甲、乙方双方各执</w:t>
      </w:r>
      <w:r>
        <w:rPr>
          <w:rFonts w:hint="eastAsia" w:ascii="仿宋" w:hAnsi="仿宋" w:eastAsia="仿宋" w:cs="仿宋"/>
          <w:sz w:val="28"/>
          <w:szCs w:val="28"/>
          <w:u w:val="single"/>
        </w:rPr>
        <w:t xml:space="preserve">     </w:t>
      </w:r>
      <w:r>
        <w:rPr>
          <w:rFonts w:hint="eastAsia" w:ascii="仿宋" w:hAnsi="仿宋" w:eastAsia="仿宋" w:cs="仿宋"/>
          <w:sz w:val="28"/>
          <w:szCs w:val="28"/>
        </w:rPr>
        <w:t>份，具有同等法律效力。本合同自双方法定代表人（或授权代表）签字并盖章之日起生效。</w:t>
      </w:r>
    </w:p>
    <w:p>
      <w:pPr>
        <w:ind w:firstLine="560"/>
        <w:jc w:val="left"/>
        <w:rPr>
          <w:rFonts w:ascii="仿宋" w:hAnsi="仿宋" w:eastAsia="仿宋" w:cs="仿宋"/>
          <w:sz w:val="28"/>
          <w:szCs w:val="36"/>
        </w:rPr>
      </w:pPr>
      <w:bookmarkStart w:id="4" w:name="OLE_LINK30"/>
      <w:bookmarkStart w:id="5" w:name="OLE_LINK31"/>
      <w:r>
        <w:rPr>
          <w:rFonts w:hint="eastAsia" w:ascii="仿宋" w:hAnsi="仿宋" w:eastAsia="仿宋" w:cs="仿宋"/>
          <w:sz w:val="28"/>
          <w:szCs w:val="36"/>
        </w:rPr>
        <w:t>3、双方工商登记公示信息适用于双方往来联系、书面文件送达及争议解决时法律文书送达。因工商登记公示信息错误、登记地址无人签收或拒绝签收导致无法直接送达的，自投递之日视为送达。</w:t>
      </w:r>
    </w:p>
    <w:bookmarkEnd w:id="4"/>
    <w:bookmarkEnd w:id="5"/>
    <w:p>
      <w:pPr>
        <w:ind w:firstLine="560"/>
        <w:jc w:val="left"/>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甲方（采购人）：   （盖章）       乙方（供应商）：    （盖章）</w:t>
      </w:r>
    </w:p>
    <w:p>
      <w:pPr>
        <w:ind w:firstLine="560"/>
        <w:jc w:val="left"/>
        <w:rPr>
          <w:rFonts w:ascii="仿宋" w:hAnsi="仿宋" w:eastAsia="仿宋" w:cs="仿宋"/>
          <w:sz w:val="28"/>
          <w:szCs w:val="28"/>
        </w:rPr>
      </w:pPr>
      <w:r>
        <w:rPr>
          <w:rFonts w:hint="eastAsia" w:ascii="仿宋" w:hAnsi="仿宋" w:eastAsia="仿宋" w:cs="仿宋"/>
          <w:sz w:val="28"/>
          <w:szCs w:val="28"/>
        </w:rPr>
        <w:t xml:space="preserve">法定代表人：                     法定代表人： </w:t>
      </w:r>
    </w:p>
    <w:p>
      <w:pPr>
        <w:ind w:firstLine="560"/>
        <w:jc w:val="left"/>
        <w:rPr>
          <w:rFonts w:ascii="仿宋" w:hAnsi="仿宋" w:eastAsia="仿宋" w:cs="仿宋"/>
          <w:sz w:val="28"/>
          <w:szCs w:val="28"/>
        </w:rPr>
      </w:pPr>
      <w:r>
        <w:rPr>
          <w:rFonts w:hint="eastAsia" w:ascii="仿宋" w:hAnsi="仿宋" w:eastAsia="仿宋" w:cs="仿宋"/>
          <w:sz w:val="28"/>
          <w:szCs w:val="28"/>
        </w:rPr>
        <w:t>委托代理人：                     委托代理人：</w:t>
      </w:r>
    </w:p>
    <w:p>
      <w:pPr>
        <w:rPr>
          <w:rFonts w:ascii="仿宋" w:hAnsi="仿宋" w:eastAsia="仿宋" w:cs="仿宋"/>
          <w:sz w:val="28"/>
          <w:szCs w:val="28"/>
        </w:rPr>
      </w:pPr>
      <w:r>
        <w:rPr>
          <w:rFonts w:hint="eastAsia" w:ascii="仿宋" w:hAnsi="仿宋" w:eastAsia="仿宋" w:cs="仿宋"/>
          <w:sz w:val="28"/>
          <w:szCs w:val="28"/>
        </w:rPr>
        <w:t>日期：   年     月    日         日期：   年     月    日</w:t>
      </w:r>
    </w:p>
    <w:p>
      <w:pPr>
        <w:rPr>
          <w:bCs/>
          <w:color w:val="000000"/>
          <w:sz w:val="32"/>
          <w:szCs w:val="21"/>
        </w:rPr>
      </w:pPr>
    </w:p>
    <w:p>
      <w:pPr>
        <w:pStyle w:val="2"/>
        <w:rPr>
          <w:bCs/>
          <w:color w:val="000000"/>
          <w:sz w:val="32"/>
          <w:szCs w:val="21"/>
        </w:rPr>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2"/>
        <w:ind w:left="0" w:leftChars="0" w:firstLine="0" w:firstLineChars="0"/>
      </w:pPr>
    </w:p>
    <w:p>
      <w:pPr>
        <w:rPr>
          <w:rFonts w:ascii="仿宋" w:hAnsi="仿宋" w:eastAsia="仿宋" w:cs="仿宋"/>
          <w:bCs/>
          <w:color w:val="000000"/>
          <w:sz w:val="28"/>
          <w:szCs w:val="28"/>
        </w:rPr>
      </w:pPr>
      <w:r>
        <w:rPr>
          <w:rFonts w:hint="eastAsia" w:ascii="仿宋" w:hAnsi="仿宋" w:eastAsia="仿宋" w:cs="仿宋"/>
          <w:bCs/>
          <w:color w:val="000000"/>
          <w:sz w:val="28"/>
          <w:szCs w:val="28"/>
        </w:rPr>
        <w:t>附件5：投标文件编排指引</w:t>
      </w:r>
    </w:p>
    <w:p>
      <w:pPr>
        <w:rPr>
          <w:rFonts w:ascii="仿宋" w:hAnsi="仿宋" w:eastAsia="仿宋" w:cs="仿宋"/>
          <w:bCs/>
          <w:color w:val="000000"/>
          <w:sz w:val="28"/>
          <w:szCs w:val="28"/>
        </w:rPr>
      </w:pPr>
    </w:p>
    <w:p>
      <w:pPr>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请投标人按照以下顺序编排招标文件</w:t>
      </w:r>
    </w:p>
    <w:p>
      <w:pPr>
        <w:numPr>
          <w:ilvl w:val="0"/>
          <w:numId w:val="17"/>
        </w:numPr>
        <w:rPr>
          <w:rFonts w:ascii="仿宋" w:hAnsi="仿宋" w:eastAsia="仿宋" w:cs="仿宋"/>
          <w:bCs/>
          <w:color w:val="000000"/>
          <w:sz w:val="28"/>
          <w:szCs w:val="28"/>
        </w:rPr>
      </w:pPr>
      <w:r>
        <w:rPr>
          <w:rFonts w:hint="eastAsia" w:ascii="仿宋" w:hAnsi="仿宋" w:eastAsia="仿宋" w:cs="仿宋"/>
          <w:bCs/>
          <w:color w:val="000000"/>
          <w:sz w:val="28"/>
          <w:szCs w:val="28"/>
        </w:rPr>
        <w:t>投标总报价。</w:t>
      </w:r>
    </w:p>
    <w:p>
      <w:pPr>
        <w:numPr>
          <w:ilvl w:val="0"/>
          <w:numId w:val="17"/>
        </w:numPr>
        <w:rPr>
          <w:rFonts w:ascii="仿宋" w:hAnsi="仿宋" w:eastAsia="仿宋" w:cs="仿宋"/>
          <w:bCs/>
          <w:color w:val="000000"/>
          <w:sz w:val="28"/>
          <w:szCs w:val="28"/>
        </w:rPr>
      </w:pPr>
      <w:r>
        <w:rPr>
          <w:rFonts w:hint="eastAsia" w:ascii="仿宋" w:hAnsi="仿宋" w:eastAsia="仿宋" w:cs="仿宋"/>
          <w:bCs/>
          <w:color w:val="000000"/>
          <w:sz w:val="28"/>
          <w:szCs w:val="28"/>
        </w:rPr>
        <w:t>商务部分文件。（按照评分表中</w:t>
      </w:r>
      <w:r>
        <w:rPr>
          <w:rFonts w:hint="eastAsia" w:ascii="仿宋" w:hAnsi="仿宋" w:eastAsia="仿宋" w:cs="仿宋"/>
          <w:bCs/>
          <w:color w:val="000000"/>
          <w:sz w:val="28"/>
          <w:szCs w:val="28"/>
          <w:lang w:val="en-US" w:eastAsia="zh-CN"/>
        </w:rPr>
        <w:t>商务部分</w:t>
      </w:r>
      <w:r>
        <w:rPr>
          <w:rFonts w:hint="eastAsia" w:ascii="仿宋" w:hAnsi="仿宋" w:eastAsia="仿宋" w:cs="仿宋"/>
          <w:bCs/>
          <w:color w:val="000000"/>
          <w:sz w:val="28"/>
          <w:szCs w:val="28"/>
        </w:rPr>
        <w:t>先后顺序依次编排）</w:t>
      </w:r>
    </w:p>
    <w:p>
      <w:pPr>
        <w:numPr>
          <w:ilvl w:val="0"/>
          <w:numId w:val="17"/>
        </w:numPr>
        <w:rPr>
          <w:rFonts w:ascii="仿宋" w:hAnsi="仿宋" w:eastAsia="仿宋" w:cs="仿宋"/>
          <w:bCs/>
          <w:color w:val="000000"/>
          <w:sz w:val="28"/>
          <w:szCs w:val="28"/>
        </w:rPr>
      </w:pPr>
      <w:r>
        <w:rPr>
          <w:rFonts w:hint="eastAsia" w:ascii="仿宋" w:hAnsi="仿宋" w:eastAsia="仿宋" w:cs="仿宋"/>
          <w:bCs/>
          <w:color w:val="000000"/>
          <w:sz w:val="28"/>
          <w:szCs w:val="28"/>
        </w:rPr>
        <w:t>技术部分文件。（按照评分表中</w:t>
      </w:r>
      <w:r>
        <w:rPr>
          <w:rFonts w:hint="eastAsia" w:ascii="仿宋" w:hAnsi="仿宋" w:eastAsia="仿宋" w:cs="仿宋"/>
          <w:bCs/>
          <w:color w:val="000000"/>
          <w:sz w:val="28"/>
          <w:szCs w:val="28"/>
          <w:lang w:val="en-US" w:eastAsia="zh-CN"/>
        </w:rPr>
        <w:t>技术部分</w:t>
      </w:r>
      <w:r>
        <w:rPr>
          <w:rFonts w:hint="eastAsia" w:ascii="仿宋" w:hAnsi="仿宋" w:eastAsia="仿宋" w:cs="仿宋"/>
          <w:bCs/>
          <w:color w:val="000000"/>
          <w:sz w:val="28"/>
          <w:szCs w:val="28"/>
        </w:rPr>
        <w:t>先后顺序依次编排）</w:t>
      </w:r>
    </w:p>
    <w:p>
      <w:pPr>
        <w:numPr>
          <w:ilvl w:val="0"/>
          <w:numId w:val="17"/>
        </w:numPr>
        <w:rPr>
          <w:rFonts w:ascii="仿宋" w:hAnsi="仿宋" w:eastAsia="仿宋" w:cs="仿宋"/>
          <w:bCs/>
          <w:color w:val="000000"/>
          <w:sz w:val="28"/>
          <w:szCs w:val="28"/>
        </w:rPr>
      </w:pPr>
      <w:r>
        <w:rPr>
          <w:rFonts w:hint="eastAsia" w:ascii="仿宋" w:hAnsi="仿宋" w:eastAsia="仿宋" w:cs="仿宋"/>
          <w:bCs/>
          <w:color w:val="000000"/>
          <w:sz w:val="28"/>
          <w:szCs w:val="28"/>
          <w:lang w:val="en-US" w:eastAsia="zh-CN"/>
        </w:rPr>
        <w:t>其他文件。</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ins w:id="0" w:author="XIAO" w:date="2021-06-28T10:34:59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4445" t="4445" r="14605" b="14605"/>
                <wp:wrapNone/>
                <wp:docPr id="1" name="文本框 1" descr="7b0a20202020227461726765744d6f64756c65223a20226b6f6e6c696e656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9"/>
                              <w:rPr>
                                <w:color w:val="000000" w:themeColor="text1"/>
                                <w14:textFill>
                                  <w14:solidFill>
                                    <w14:schemeClr w14:val="tx1"/>
                                  </w14:solidFill>
                                </w14:textFill>
                              </w:rPr>
                            </w:pPr>
                            <w:r>
                              <w:rPr>
                                <w:color w:val="000000" w:themeColor="text1"/>
                                <w14:textFill>
                                  <w14:solidFill>
                                    <w14:schemeClr w14:val="tx1"/>
                                  </w14:solidFill>
                                </w14:textFill>
                              </w:rPr>
                              <w:t xml:space="preserve">第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页 共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NUMPAGES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d6f64756c65223a20226b6f6e6c696e6562756c6c6574220a7d0a" type="#_x0000_t202" style="position:absolute;left:0pt;margin-top:0pt;height:144pt;width:144pt;mso-position-horizontal:center;mso-position-horizontal-relative:margin;mso-wrap-style:none;z-index:251659264;mso-width-relative:page;mso-height-relative:page;" filled="f" stroked="t" coordsize="21600,21600" o:gfxdata="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VlhKtEAAAAFAQAADwAAAAAAAAABACAAAAAi&#10;AAAAZHJzL2Rvd25yZXYueG1sUEsBAhQAFAAAAAgAh07iQIEwQ56DAgAA4wQAAA4AAAAAAAAAAQAg&#10;AAAAIAEAAGRycy9lMm9Eb2MueG1sUEsFBgAAAAAGAAYAWQEAABUGAAAAAA==&#10;">
                <v:fill on="f" focussize="0,0"/>
                <v:stroke weight="0.5pt" color="#FFFFFF [3212]" joinstyle="round"/>
                <v:imagedata o:title=""/>
                <o:lock v:ext="edit" aspectratio="f"/>
                <v:textbox inset="0mm,0mm,0mm,0mm" style="mso-fit-shape-to-text:t;">
                  <w:txbxContent>
                    <w:p>
                      <w:pPr>
                        <w:pStyle w:val="9"/>
                        <w:rPr>
                          <w:color w:val="000000" w:themeColor="text1"/>
                          <w14:textFill>
                            <w14:solidFill>
                              <w14:schemeClr w14:val="tx1"/>
                            </w14:solidFill>
                          </w14:textFill>
                        </w:rPr>
                      </w:pPr>
                      <w:r>
                        <w:rPr>
                          <w:color w:val="000000" w:themeColor="text1"/>
                          <w14:textFill>
                            <w14:solidFill>
                              <w14:schemeClr w14:val="tx1"/>
                            </w14:solidFill>
                          </w14:textFill>
                        </w:rPr>
                        <w:t xml:space="preserve">第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页 共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NUMPAGES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页</w:t>
                      </w:r>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A3A31"/>
    <w:multiLevelType w:val="singleLevel"/>
    <w:tmpl w:val="81FA3A31"/>
    <w:lvl w:ilvl="0" w:tentative="0">
      <w:start w:val="1"/>
      <w:numFmt w:val="decimal"/>
      <w:lvlText w:val="%1."/>
      <w:lvlJc w:val="left"/>
      <w:pPr>
        <w:ind w:left="425" w:hanging="425"/>
      </w:pPr>
      <w:rPr>
        <w:rFonts w:hint="default"/>
      </w:rPr>
    </w:lvl>
  </w:abstractNum>
  <w:abstractNum w:abstractNumId="1">
    <w:nsid w:val="8768DA3E"/>
    <w:multiLevelType w:val="singleLevel"/>
    <w:tmpl w:val="8768DA3E"/>
    <w:lvl w:ilvl="0" w:tentative="0">
      <w:start w:val="1"/>
      <w:numFmt w:val="chineseCounting"/>
      <w:suff w:val="space"/>
      <w:lvlText w:val="第%1章"/>
      <w:lvlJc w:val="left"/>
      <w:rPr>
        <w:rFonts w:hint="eastAsia"/>
      </w:rPr>
    </w:lvl>
  </w:abstractNum>
  <w:abstractNum w:abstractNumId="2">
    <w:nsid w:val="8E355F42"/>
    <w:multiLevelType w:val="singleLevel"/>
    <w:tmpl w:val="8E355F42"/>
    <w:lvl w:ilvl="0" w:tentative="0">
      <w:start w:val="1"/>
      <w:numFmt w:val="decimal"/>
      <w:lvlText w:val="%1)"/>
      <w:lvlJc w:val="left"/>
      <w:pPr>
        <w:ind w:left="425" w:hanging="425"/>
      </w:pPr>
      <w:rPr>
        <w:rFonts w:hint="default"/>
      </w:rPr>
    </w:lvl>
  </w:abstractNum>
  <w:abstractNum w:abstractNumId="3">
    <w:nsid w:val="96498777"/>
    <w:multiLevelType w:val="singleLevel"/>
    <w:tmpl w:val="96498777"/>
    <w:lvl w:ilvl="0" w:tentative="0">
      <w:start w:val="1"/>
      <w:numFmt w:val="decimal"/>
      <w:lvlText w:val="%1)"/>
      <w:lvlJc w:val="left"/>
      <w:pPr>
        <w:ind w:left="425" w:hanging="425"/>
      </w:pPr>
      <w:rPr>
        <w:rFonts w:hint="default"/>
      </w:rPr>
    </w:lvl>
  </w:abstractNum>
  <w:abstractNum w:abstractNumId="4">
    <w:nsid w:val="9D447C42"/>
    <w:multiLevelType w:val="singleLevel"/>
    <w:tmpl w:val="9D447C42"/>
    <w:lvl w:ilvl="0" w:tentative="0">
      <w:start w:val="1"/>
      <w:numFmt w:val="decimal"/>
      <w:lvlText w:val="%1)"/>
      <w:lvlJc w:val="left"/>
      <w:pPr>
        <w:ind w:left="425" w:hanging="425"/>
      </w:pPr>
      <w:rPr>
        <w:rFonts w:hint="default"/>
      </w:rPr>
    </w:lvl>
  </w:abstractNum>
  <w:abstractNum w:abstractNumId="5">
    <w:nsid w:val="0CCEABFF"/>
    <w:multiLevelType w:val="singleLevel"/>
    <w:tmpl w:val="0CCEABFF"/>
    <w:lvl w:ilvl="0" w:tentative="0">
      <w:start w:val="1"/>
      <w:numFmt w:val="chineseCounting"/>
      <w:suff w:val="nothing"/>
      <w:lvlText w:val="%1、"/>
      <w:lvlJc w:val="left"/>
      <w:pPr>
        <w:ind w:left="0" w:firstLine="420"/>
      </w:pPr>
      <w:rPr>
        <w:rFonts w:hint="eastAsia"/>
      </w:rPr>
    </w:lvl>
  </w:abstractNum>
  <w:abstractNum w:abstractNumId="6">
    <w:nsid w:val="0E444774"/>
    <w:multiLevelType w:val="singleLevel"/>
    <w:tmpl w:val="0E444774"/>
    <w:lvl w:ilvl="0" w:tentative="0">
      <w:start w:val="1"/>
      <w:numFmt w:val="chineseCounting"/>
      <w:suff w:val="nothing"/>
      <w:lvlText w:val="%1、"/>
      <w:lvlJc w:val="left"/>
      <w:pPr>
        <w:ind w:left="-420" w:firstLine="420"/>
      </w:pPr>
      <w:rPr>
        <w:rFonts w:hint="eastAsia"/>
      </w:rPr>
    </w:lvl>
  </w:abstractNum>
  <w:abstractNum w:abstractNumId="7">
    <w:nsid w:val="15B926E8"/>
    <w:multiLevelType w:val="multilevel"/>
    <w:tmpl w:val="15B926E8"/>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8">
    <w:nsid w:val="30327E66"/>
    <w:multiLevelType w:val="singleLevel"/>
    <w:tmpl w:val="30327E66"/>
    <w:lvl w:ilvl="0" w:tentative="0">
      <w:start w:val="1"/>
      <w:numFmt w:val="chineseCounting"/>
      <w:suff w:val="nothing"/>
      <w:lvlText w:val="%1、"/>
      <w:lvlJc w:val="left"/>
      <w:pPr>
        <w:ind w:left="-420" w:firstLine="420"/>
      </w:pPr>
      <w:rPr>
        <w:rFonts w:hint="eastAsia"/>
      </w:rPr>
    </w:lvl>
  </w:abstractNum>
  <w:abstractNum w:abstractNumId="9">
    <w:nsid w:val="30C764D5"/>
    <w:multiLevelType w:val="singleLevel"/>
    <w:tmpl w:val="30C764D5"/>
    <w:lvl w:ilvl="0" w:tentative="0">
      <w:start w:val="1"/>
      <w:numFmt w:val="decimal"/>
      <w:lvlText w:val="%1)"/>
      <w:lvlJc w:val="left"/>
      <w:pPr>
        <w:ind w:left="425" w:hanging="425"/>
      </w:pPr>
      <w:rPr>
        <w:rFonts w:hint="default"/>
      </w:rPr>
    </w:lvl>
  </w:abstractNum>
  <w:abstractNum w:abstractNumId="10">
    <w:nsid w:val="4490E343"/>
    <w:multiLevelType w:val="singleLevel"/>
    <w:tmpl w:val="4490E343"/>
    <w:lvl w:ilvl="0" w:tentative="0">
      <w:start w:val="1"/>
      <w:numFmt w:val="decimal"/>
      <w:lvlText w:val="%1)"/>
      <w:lvlJc w:val="left"/>
      <w:pPr>
        <w:ind w:left="425" w:hanging="425"/>
      </w:pPr>
      <w:rPr>
        <w:rFonts w:hint="default"/>
      </w:rPr>
    </w:lvl>
  </w:abstractNum>
  <w:abstractNum w:abstractNumId="11">
    <w:nsid w:val="5C53E121"/>
    <w:multiLevelType w:val="singleLevel"/>
    <w:tmpl w:val="5C53E121"/>
    <w:lvl w:ilvl="0" w:tentative="0">
      <w:start w:val="1"/>
      <w:numFmt w:val="chineseCounting"/>
      <w:suff w:val="nothing"/>
      <w:lvlText w:val="%1、"/>
      <w:lvlJc w:val="left"/>
      <w:pPr>
        <w:ind w:left="-420" w:firstLine="420"/>
      </w:pPr>
      <w:rPr>
        <w:rFonts w:hint="eastAsia"/>
      </w:rPr>
    </w:lvl>
  </w:abstractNum>
  <w:abstractNum w:abstractNumId="12">
    <w:nsid w:val="72724A93"/>
    <w:multiLevelType w:val="singleLevel"/>
    <w:tmpl w:val="72724A93"/>
    <w:lvl w:ilvl="0" w:tentative="0">
      <w:start w:val="1"/>
      <w:numFmt w:val="decimal"/>
      <w:lvlText w:val="%1."/>
      <w:lvlJc w:val="left"/>
      <w:pPr>
        <w:ind w:left="425" w:hanging="425"/>
      </w:pPr>
      <w:rPr>
        <w:rFonts w:hint="default"/>
      </w:rPr>
    </w:lvl>
  </w:abstractNum>
  <w:abstractNum w:abstractNumId="13">
    <w:nsid w:val="751B6B17"/>
    <w:multiLevelType w:val="singleLevel"/>
    <w:tmpl w:val="751B6B17"/>
    <w:lvl w:ilvl="0" w:tentative="0">
      <w:start w:val="1"/>
      <w:numFmt w:val="chineseCounting"/>
      <w:suff w:val="nothing"/>
      <w:lvlText w:val="%1、"/>
      <w:lvlJc w:val="left"/>
      <w:pPr>
        <w:ind w:left="-420" w:firstLine="420"/>
      </w:pPr>
      <w:rPr>
        <w:rFonts w:hint="eastAsia"/>
      </w:rPr>
    </w:lvl>
  </w:abstractNum>
  <w:abstractNum w:abstractNumId="14">
    <w:nsid w:val="75C83B23"/>
    <w:multiLevelType w:val="multilevel"/>
    <w:tmpl w:val="75C83B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CD9C878"/>
    <w:multiLevelType w:val="singleLevel"/>
    <w:tmpl w:val="7CD9C878"/>
    <w:lvl w:ilvl="0" w:tentative="0">
      <w:start w:val="1"/>
      <w:numFmt w:val="decimal"/>
      <w:lvlText w:val="%1)"/>
      <w:lvlJc w:val="left"/>
      <w:pPr>
        <w:ind w:left="425" w:hanging="425"/>
      </w:pPr>
      <w:rPr>
        <w:rFonts w:hint="default"/>
      </w:rPr>
    </w:lvl>
  </w:abstractNum>
  <w:abstractNum w:abstractNumId="16">
    <w:nsid w:val="7DD9E1D4"/>
    <w:multiLevelType w:val="singleLevel"/>
    <w:tmpl w:val="7DD9E1D4"/>
    <w:lvl w:ilvl="0" w:tentative="0">
      <w:start w:val="1"/>
      <w:numFmt w:val="chineseCounting"/>
      <w:suff w:val="nothing"/>
      <w:lvlText w:val="%1、"/>
      <w:lvlJc w:val="left"/>
      <w:pPr>
        <w:ind w:left="0" w:firstLine="420"/>
      </w:pPr>
      <w:rPr>
        <w:rFonts w:hint="eastAsia"/>
      </w:rPr>
    </w:lvl>
  </w:abstractNum>
  <w:num w:numId="1">
    <w:abstractNumId w:val="7"/>
  </w:num>
  <w:num w:numId="2">
    <w:abstractNumId w:val="1"/>
  </w:num>
  <w:num w:numId="3">
    <w:abstractNumId w:val="13"/>
  </w:num>
  <w:num w:numId="4">
    <w:abstractNumId w:val="4"/>
  </w:num>
  <w:num w:numId="5">
    <w:abstractNumId w:val="3"/>
  </w:num>
  <w:num w:numId="6">
    <w:abstractNumId w:val="15"/>
  </w:num>
  <w:num w:numId="7">
    <w:abstractNumId w:val="8"/>
  </w:num>
  <w:num w:numId="8">
    <w:abstractNumId w:val="6"/>
  </w:num>
  <w:num w:numId="9">
    <w:abstractNumId w:val="10"/>
  </w:num>
  <w:num w:numId="10">
    <w:abstractNumId w:val="11"/>
  </w:num>
  <w:num w:numId="11">
    <w:abstractNumId w:val="2"/>
  </w:num>
  <w:num w:numId="12">
    <w:abstractNumId w:val="9"/>
  </w:num>
  <w:num w:numId="13">
    <w:abstractNumId w:val="16"/>
  </w:num>
  <w:num w:numId="14">
    <w:abstractNumId w:val="5"/>
  </w:num>
  <w:num w:numId="15">
    <w:abstractNumId w:val="14"/>
  </w:num>
  <w:num w:numId="16">
    <w:abstractNumId w:val="0"/>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O">
    <w15:presenceInfo w15:providerId="WPS Office" w15:userId="3236254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762C9"/>
    <w:rsid w:val="000858CA"/>
    <w:rsid w:val="000D4733"/>
    <w:rsid w:val="005010D3"/>
    <w:rsid w:val="00620104"/>
    <w:rsid w:val="00932B94"/>
    <w:rsid w:val="009A4D54"/>
    <w:rsid w:val="00B84139"/>
    <w:rsid w:val="00D82810"/>
    <w:rsid w:val="00DD37E6"/>
    <w:rsid w:val="00DE0609"/>
    <w:rsid w:val="00EA7D21"/>
    <w:rsid w:val="019C58D1"/>
    <w:rsid w:val="04954D1E"/>
    <w:rsid w:val="08E57EC8"/>
    <w:rsid w:val="0C215E3F"/>
    <w:rsid w:val="0C852F84"/>
    <w:rsid w:val="0E6D4A5D"/>
    <w:rsid w:val="0F9D4D69"/>
    <w:rsid w:val="10D8624F"/>
    <w:rsid w:val="114F34F9"/>
    <w:rsid w:val="11F577FE"/>
    <w:rsid w:val="13A37206"/>
    <w:rsid w:val="13EF4993"/>
    <w:rsid w:val="15E53598"/>
    <w:rsid w:val="165F7670"/>
    <w:rsid w:val="16E4600C"/>
    <w:rsid w:val="16F049A4"/>
    <w:rsid w:val="1AAE02D6"/>
    <w:rsid w:val="1DF4234D"/>
    <w:rsid w:val="1FDC4D6D"/>
    <w:rsid w:val="1FFD555D"/>
    <w:rsid w:val="21E00CDF"/>
    <w:rsid w:val="237607EB"/>
    <w:rsid w:val="254243EA"/>
    <w:rsid w:val="262E7488"/>
    <w:rsid w:val="264D00BE"/>
    <w:rsid w:val="264F6AF5"/>
    <w:rsid w:val="26F8041E"/>
    <w:rsid w:val="27FA65DD"/>
    <w:rsid w:val="28FA5978"/>
    <w:rsid w:val="294348BA"/>
    <w:rsid w:val="29A67E1A"/>
    <w:rsid w:val="29B633B1"/>
    <w:rsid w:val="2A0B0699"/>
    <w:rsid w:val="2D384A21"/>
    <w:rsid w:val="2E7604A6"/>
    <w:rsid w:val="309F04DF"/>
    <w:rsid w:val="312233DF"/>
    <w:rsid w:val="31A87A36"/>
    <w:rsid w:val="325773DF"/>
    <w:rsid w:val="32C875A2"/>
    <w:rsid w:val="33093A62"/>
    <w:rsid w:val="33174DCB"/>
    <w:rsid w:val="34755482"/>
    <w:rsid w:val="37577EC9"/>
    <w:rsid w:val="375A4476"/>
    <w:rsid w:val="39474F92"/>
    <w:rsid w:val="396952FF"/>
    <w:rsid w:val="3BDF16A8"/>
    <w:rsid w:val="3CEA7689"/>
    <w:rsid w:val="3CF509D0"/>
    <w:rsid w:val="3DE90834"/>
    <w:rsid w:val="3F684CEF"/>
    <w:rsid w:val="3FF215B6"/>
    <w:rsid w:val="401E1167"/>
    <w:rsid w:val="40BB3FCC"/>
    <w:rsid w:val="42355220"/>
    <w:rsid w:val="43616535"/>
    <w:rsid w:val="44163980"/>
    <w:rsid w:val="450762C9"/>
    <w:rsid w:val="46976395"/>
    <w:rsid w:val="48A8315D"/>
    <w:rsid w:val="48D034EF"/>
    <w:rsid w:val="490D0312"/>
    <w:rsid w:val="4B4326FA"/>
    <w:rsid w:val="4BD574A8"/>
    <w:rsid w:val="4BDD3257"/>
    <w:rsid w:val="4E9A2ABB"/>
    <w:rsid w:val="50D01928"/>
    <w:rsid w:val="51093991"/>
    <w:rsid w:val="523E2169"/>
    <w:rsid w:val="524E6ECA"/>
    <w:rsid w:val="53D102EB"/>
    <w:rsid w:val="5440343C"/>
    <w:rsid w:val="57187B33"/>
    <w:rsid w:val="579555A6"/>
    <w:rsid w:val="596C549A"/>
    <w:rsid w:val="5BEF049C"/>
    <w:rsid w:val="5CFD3CCE"/>
    <w:rsid w:val="5DFF448C"/>
    <w:rsid w:val="6083035E"/>
    <w:rsid w:val="615D3AA5"/>
    <w:rsid w:val="62B254F0"/>
    <w:rsid w:val="63574CE6"/>
    <w:rsid w:val="64E7394D"/>
    <w:rsid w:val="659328E0"/>
    <w:rsid w:val="69A434AF"/>
    <w:rsid w:val="69D021C5"/>
    <w:rsid w:val="6B6E5B5A"/>
    <w:rsid w:val="6C335BDB"/>
    <w:rsid w:val="6CFC14AE"/>
    <w:rsid w:val="6EFA5709"/>
    <w:rsid w:val="74CF36E2"/>
    <w:rsid w:val="7548241F"/>
    <w:rsid w:val="770D36EB"/>
    <w:rsid w:val="77C466B1"/>
    <w:rsid w:val="7AD67001"/>
    <w:rsid w:val="7C0B5394"/>
    <w:rsid w:val="7FD86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5"/>
    <w:next w:val="1"/>
    <w:qFormat/>
    <w:uiPriority w:val="0"/>
    <w:pPr>
      <w:spacing w:before="260" w:after="260" w:line="240" w:lineRule="auto"/>
      <w:outlineLvl w:val="2"/>
    </w:pPr>
    <w:rPr>
      <w:rFonts w:ascii="宋体" w:hAnsi="宋体" w:eastAsia="宋体"/>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kern w:val="0"/>
      <w:sz w:val="28"/>
      <w:szCs w:val="28"/>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kern w:val="0"/>
      <w:sz w:val="20"/>
      <w:szCs w:val="20"/>
    </w:rPr>
  </w:style>
  <w:style w:type="paragraph" w:styleId="3">
    <w:name w:val="Body Text"/>
    <w:basedOn w:val="1"/>
    <w:next w:val="1"/>
    <w:qFormat/>
    <w:uiPriority w:val="0"/>
    <w:pPr>
      <w:spacing w:line="360" w:lineRule="auto"/>
    </w:pPr>
    <w:rPr>
      <w:b/>
      <w:bCs/>
      <w:kern w:val="0"/>
      <w:sz w:val="24"/>
    </w:rPr>
  </w:style>
  <w:style w:type="paragraph" w:styleId="6">
    <w:name w:val="annotation text"/>
    <w:basedOn w:val="1"/>
    <w:semiHidden/>
    <w:qFormat/>
    <w:uiPriority w:val="99"/>
    <w:pPr>
      <w:jc w:val="left"/>
    </w:pPr>
  </w:style>
  <w:style w:type="paragraph" w:styleId="7">
    <w:name w:val="Body Text Indent"/>
    <w:basedOn w:val="1"/>
    <w:qFormat/>
    <w:uiPriority w:val="0"/>
    <w:pPr>
      <w:spacing w:line="360" w:lineRule="auto"/>
      <w:ind w:firstLine="420" w:firstLineChars="200"/>
    </w:pPr>
    <w:rPr>
      <w:kern w:val="0"/>
      <w:sz w:val="20"/>
    </w:rPr>
  </w:style>
  <w:style w:type="paragraph" w:styleId="8">
    <w:name w:val="Balloon Text"/>
    <w:basedOn w:val="1"/>
    <w:link w:val="20"/>
    <w:uiPriority w:val="0"/>
    <w:rPr>
      <w:sz w:val="18"/>
      <w:szCs w:val="18"/>
    </w:rPr>
  </w:style>
  <w:style w:type="paragraph" w:styleId="9">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Normal (Web)"/>
    <w:basedOn w:val="1"/>
    <w:uiPriority w:val="99"/>
    <w:rPr>
      <w:rFonts w:ascii="Times New Roman" w:hAnsi="Times New Roman" w:eastAsia="宋体" w:cs="Times New Roman"/>
      <w:sz w:val="24"/>
    </w:rPr>
  </w:style>
  <w:style w:type="paragraph" w:styleId="12">
    <w:name w:val="Body Text First Indent 2"/>
    <w:basedOn w:val="7"/>
    <w:qFormat/>
    <w:uiPriority w:val="0"/>
    <w:pPr>
      <w:spacing w:after="120" w:line="240" w:lineRule="auto"/>
      <w:ind w:left="420" w:leftChars="200"/>
    </w:pPr>
    <w:rPr>
      <w:rFonts w:ascii="Calibri" w:hAnsi="Calibri"/>
      <w:kern w:val="2"/>
      <w:sz w:val="21"/>
    </w:rPr>
  </w:style>
  <w:style w:type="character" w:styleId="15">
    <w:name w:val="Strong"/>
    <w:qFormat/>
    <w:uiPriority w:val="22"/>
    <w:rPr>
      <w:b/>
      <w:bCs/>
    </w:rPr>
  </w:style>
  <w:style w:type="character" w:styleId="16">
    <w:name w:val="page number"/>
    <w:uiPriority w:val="0"/>
  </w:style>
  <w:style w:type="character" w:styleId="17">
    <w:name w:val="Hyperlink"/>
    <w:basedOn w:val="14"/>
    <w:qFormat/>
    <w:uiPriority w:val="0"/>
    <w:rPr>
      <w:color w:val="0000FF"/>
      <w:u w:val="single"/>
    </w:rPr>
  </w:style>
  <w:style w:type="character" w:customStyle="1" w:styleId="18">
    <w:name w:val="title"/>
    <w:basedOn w:val="14"/>
    <w:qFormat/>
    <w:uiPriority w:val="0"/>
  </w:style>
  <w:style w:type="paragraph" w:customStyle="1" w:styleId="19">
    <w:name w:val="Table Paragraph"/>
    <w:basedOn w:val="1"/>
    <w:qFormat/>
    <w:uiPriority w:val="1"/>
    <w:pPr>
      <w:autoSpaceDE w:val="0"/>
      <w:autoSpaceDN w:val="0"/>
      <w:jc w:val="left"/>
    </w:pPr>
    <w:rPr>
      <w:rFonts w:ascii="宋体" w:hAnsi="宋体" w:eastAsia="宋体" w:cs="宋体"/>
      <w:kern w:val="0"/>
      <w:sz w:val="22"/>
      <w:szCs w:val="22"/>
      <w:lang w:eastAsia="en-US"/>
    </w:rPr>
  </w:style>
  <w:style w:type="character" w:customStyle="1" w:styleId="20">
    <w:name w:val="批注框文本 Char"/>
    <w:basedOn w:val="14"/>
    <w:link w:val="8"/>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6A9F19-CBC2-47CF-AC9E-9AC18EB84E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2193</Words>
  <Characters>12506</Characters>
  <Lines>104</Lines>
  <Paragraphs>29</Paragraphs>
  <TotalTime>22</TotalTime>
  <ScaleCrop>false</ScaleCrop>
  <LinksUpToDate>false</LinksUpToDate>
  <CharactersWithSpaces>14670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2021-06-27T01:56:00Z</dcterms:created>
  <dc:creator>zf213</dc:creator>
  <cp:lastModifiedBy>zf213</cp:lastModifiedBy>
  <dcterms:modified xsi:type="dcterms:W3CDTF">2021-06-29T00:33:47Z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5E89575F91B44FEE86812197785313EB</vt:lpwstr>
  </property>
</Properties>
</file>